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960" w:rsidRPr="00AE3A4B" w:rsidRDefault="00B26960">
      <w:pPr>
        <w:jc w:val="center"/>
        <w:rPr>
          <w:rFonts w:ascii="Times New Roman" w:hAnsi="Times New Roman"/>
          <w:b/>
          <w:sz w:val="24"/>
          <w:szCs w:val="24"/>
          <w:shd w:val="clear" w:color="auto" w:fill="FFFF00"/>
        </w:rPr>
      </w:pPr>
      <w:r>
        <w:rPr>
          <w:rFonts w:ascii="Times New Roman" w:hAnsi="Times New Roman"/>
          <w:b/>
          <w:sz w:val="24"/>
          <w:szCs w:val="24"/>
        </w:rPr>
        <w:t xml:space="preserve">PRILOGA III – FINANČNA in POGODBENA PRAVILA </w:t>
      </w:r>
    </w:p>
    <w:p w:rsidR="00B26960" w:rsidRPr="00AE3A4B" w:rsidRDefault="00B26960">
      <w:pPr>
        <w:tabs>
          <w:tab w:val="left" w:pos="851"/>
        </w:tabs>
        <w:spacing w:after="0" w:line="100" w:lineRule="atLeast"/>
        <w:jc w:val="both"/>
        <w:rPr>
          <w:rFonts w:ascii="Times New Roman" w:eastAsia="Times New Roman" w:hAnsi="Times New Roman"/>
          <w:sz w:val="24"/>
          <w:szCs w:val="24"/>
        </w:rPr>
      </w:pPr>
      <w:r>
        <w:rPr>
          <w:rFonts w:ascii="Times New Roman" w:hAnsi="Times New Roman"/>
          <w:b/>
          <w:sz w:val="24"/>
          <w:szCs w:val="24"/>
        </w:rPr>
        <w:t xml:space="preserve">I. PRAVILA, KI SE UPORABLJAJO ZA PRORAČUNSKE KATEGORIJE NA PODLAGI PRISPEVKOV NA ENOTO </w:t>
      </w:r>
    </w:p>
    <w:p w:rsidR="00B26960" w:rsidRPr="00AE3A4B" w:rsidRDefault="00B26960">
      <w:pPr>
        <w:spacing w:after="0" w:line="100" w:lineRule="atLeast"/>
        <w:ind w:left="567" w:hanging="567"/>
        <w:jc w:val="both"/>
        <w:rPr>
          <w:rFonts w:ascii="Times New Roman" w:eastAsia="Times New Roman" w:hAnsi="Times New Roman"/>
          <w:sz w:val="24"/>
          <w:szCs w:val="24"/>
        </w:rPr>
      </w:pPr>
    </w:p>
    <w:p w:rsidR="00B26960" w:rsidRPr="00AE3A4B" w:rsidRDefault="00B26960">
      <w:pPr>
        <w:spacing w:after="0" w:line="100" w:lineRule="atLeast"/>
        <w:jc w:val="both"/>
        <w:rPr>
          <w:rFonts w:ascii="Times New Roman" w:hAnsi="Times New Roman"/>
          <w:sz w:val="24"/>
          <w:szCs w:val="24"/>
        </w:rPr>
      </w:pPr>
      <w:r>
        <w:rPr>
          <w:rFonts w:ascii="Times New Roman" w:hAnsi="Times New Roman"/>
          <w:b/>
          <w:sz w:val="24"/>
          <w:szCs w:val="24"/>
        </w:rPr>
        <w:t>I.1 Pogoji za upravičenost prispevkov na enoto</w:t>
      </w:r>
    </w:p>
    <w:p w:rsidR="00B26960" w:rsidRPr="00AE3A4B" w:rsidRDefault="00B26960">
      <w:pPr>
        <w:spacing w:after="0" w:line="100" w:lineRule="atLeast"/>
        <w:jc w:val="both"/>
        <w:rPr>
          <w:rFonts w:ascii="Times New Roman" w:hAnsi="Times New Roman"/>
          <w:sz w:val="24"/>
          <w:szCs w:val="24"/>
        </w:rPr>
      </w:pPr>
    </w:p>
    <w:p w:rsidR="00B26960" w:rsidRPr="00AE3A4B" w:rsidRDefault="00B26960">
      <w:pPr>
        <w:spacing w:after="0" w:line="100" w:lineRule="atLeast"/>
        <w:jc w:val="both"/>
        <w:rPr>
          <w:rFonts w:ascii="Times New Roman" w:hAnsi="Times New Roman"/>
          <w:sz w:val="24"/>
          <w:szCs w:val="24"/>
        </w:rPr>
      </w:pPr>
      <w:r>
        <w:rPr>
          <w:rFonts w:ascii="Times New Roman" w:hAnsi="Times New Roman"/>
          <w:sz w:val="24"/>
          <w:szCs w:val="24"/>
        </w:rPr>
        <w:t>Kadar so nepovratna sredstva v obliki prispevka na enoto, mora število enot izpolnjevati naslednje pogoje:</w:t>
      </w:r>
    </w:p>
    <w:p w:rsidR="00B26960" w:rsidRPr="00AE3A4B" w:rsidRDefault="00B26960">
      <w:pPr>
        <w:spacing w:after="0" w:line="100" w:lineRule="atLeast"/>
        <w:jc w:val="both"/>
        <w:rPr>
          <w:rFonts w:ascii="Times New Roman" w:hAnsi="Times New Roman"/>
          <w:sz w:val="24"/>
          <w:szCs w:val="24"/>
        </w:rPr>
      </w:pPr>
    </w:p>
    <w:p w:rsidR="00B26960" w:rsidRPr="00AE3A4B" w:rsidRDefault="00B26960">
      <w:pPr>
        <w:numPr>
          <w:ilvl w:val="0"/>
          <w:numId w:val="10"/>
        </w:numPr>
        <w:spacing w:after="0" w:line="100" w:lineRule="atLeast"/>
        <w:jc w:val="both"/>
        <w:rPr>
          <w:rFonts w:ascii="Times New Roman" w:hAnsi="Times New Roman"/>
          <w:sz w:val="24"/>
          <w:szCs w:val="24"/>
        </w:rPr>
      </w:pPr>
      <w:r>
        <w:rPr>
          <w:rFonts w:ascii="Times New Roman" w:hAnsi="Times New Roman"/>
          <w:sz w:val="24"/>
          <w:szCs w:val="24"/>
        </w:rPr>
        <w:t>enote morajo biti dejansko uporabljene ali proizvedene v obdobju, določenem v členu I.2.2 posebnih pogojev;</w:t>
      </w:r>
    </w:p>
    <w:p w:rsidR="00B26960" w:rsidRPr="00AE3A4B" w:rsidRDefault="00B26960">
      <w:pPr>
        <w:spacing w:after="0" w:line="100" w:lineRule="atLeast"/>
        <w:ind w:left="720"/>
        <w:jc w:val="both"/>
        <w:rPr>
          <w:rFonts w:ascii="Times New Roman" w:hAnsi="Times New Roman"/>
          <w:sz w:val="24"/>
          <w:szCs w:val="24"/>
        </w:rPr>
      </w:pPr>
    </w:p>
    <w:p w:rsidR="00B26960" w:rsidRPr="00AE3A4B" w:rsidRDefault="00B26960">
      <w:pPr>
        <w:numPr>
          <w:ilvl w:val="0"/>
          <w:numId w:val="10"/>
        </w:numPr>
        <w:spacing w:after="0" w:line="100" w:lineRule="atLeast"/>
        <w:rPr>
          <w:rFonts w:ascii="Times New Roman" w:hAnsi="Times New Roman"/>
          <w:sz w:val="24"/>
          <w:szCs w:val="24"/>
        </w:rPr>
      </w:pPr>
      <w:r>
        <w:rPr>
          <w:rFonts w:ascii="Times New Roman" w:hAnsi="Times New Roman"/>
          <w:sz w:val="24"/>
          <w:szCs w:val="24"/>
        </w:rPr>
        <w:t>enote morajo biti potrebne za izvajanje projekta ali proizvedene v njegovem okviru in</w:t>
      </w:r>
    </w:p>
    <w:p w:rsidR="00B26960" w:rsidRPr="00AE3A4B" w:rsidRDefault="00B26960">
      <w:pPr>
        <w:spacing w:after="0" w:line="100" w:lineRule="atLeast"/>
        <w:ind w:left="720"/>
        <w:rPr>
          <w:rFonts w:ascii="Times New Roman" w:hAnsi="Times New Roman"/>
          <w:sz w:val="24"/>
          <w:szCs w:val="24"/>
        </w:rPr>
      </w:pPr>
    </w:p>
    <w:p w:rsidR="00B26960" w:rsidRPr="00AE3A4B" w:rsidRDefault="00B26960">
      <w:pPr>
        <w:numPr>
          <w:ilvl w:val="0"/>
          <w:numId w:val="10"/>
        </w:numPr>
        <w:spacing w:after="0" w:line="100" w:lineRule="atLeast"/>
        <w:rPr>
          <w:rFonts w:ascii="Times New Roman" w:hAnsi="Times New Roman"/>
          <w:sz w:val="24"/>
          <w:szCs w:val="24"/>
          <w:shd w:val="clear" w:color="auto" w:fill="00FF00"/>
        </w:rPr>
      </w:pPr>
      <w:r>
        <w:rPr>
          <w:rFonts w:ascii="Times New Roman" w:hAnsi="Times New Roman"/>
          <w:sz w:val="24"/>
          <w:szCs w:val="24"/>
        </w:rPr>
        <w:t xml:space="preserve">število enot mora biti določljivo in preverljivo, zlasti pa podprto z dokumenti in dokazili, opredeljenimi v tej prilogi. </w:t>
      </w:r>
    </w:p>
    <w:p w:rsidR="00B26960" w:rsidRPr="00AE3A4B" w:rsidRDefault="00B26960">
      <w:pPr>
        <w:spacing w:after="0" w:line="100" w:lineRule="atLeast"/>
        <w:ind w:left="720"/>
        <w:rPr>
          <w:rFonts w:ascii="Times New Roman" w:hAnsi="Times New Roman"/>
          <w:sz w:val="24"/>
          <w:szCs w:val="24"/>
          <w:shd w:val="clear" w:color="auto" w:fill="00FF00"/>
        </w:rPr>
      </w:pPr>
    </w:p>
    <w:p w:rsidR="00B26960" w:rsidRPr="00AE3A4B" w:rsidRDefault="00B26960">
      <w:pPr>
        <w:spacing w:after="0" w:line="100" w:lineRule="atLeast"/>
        <w:rPr>
          <w:rFonts w:ascii="Times New Roman" w:hAnsi="Times New Roman"/>
          <w:sz w:val="24"/>
          <w:szCs w:val="24"/>
          <w:shd w:val="clear" w:color="auto" w:fill="00FF00"/>
        </w:rPr>
      </w:pPr>
    </w:p>
    <w:p w:rsidR="00B26960" w:rsidRPr="00AE3A4B" w:rsidRDefault="00B26960">
      <w:pPr>
        <w:jc w:val="both"/>
        <w:rPr>
          <w:rFonts w:ascii="Times New Roman" w:hAnsi="Times New Roman"/>
          <w:b/>
          <w:sz w:val="24"/>
          <w:szCs w:val="24"/>
          <w:shd w:val="clear" w:color="auto" w:fill="C0C0C0"/>
        </w:rPr>
      </w:pPr>
      <w:r>
        <w:rPr>
          <w:rFonts w:ascii="Times New Roman" w:hAnsi="Times New Roman"/>
          <w:b/>
          <w:sz w:val="24"/>
          <w:szCs w:val="24"/>
        </w:rPr>
        <w:t>I.2 Izračun in dokazila za prispevke na enoto</w:t>
      </w:r>
    </w:p>
    <w:p w:rsidR="00B26960" w:rsidRPr="007F4B0F" w:rsidRDefault="00B26960" w:rsidP="00184345">
      <w:pPr>
        <w:numPr>
          <w:ilvl w:val="0"/>
          <w:numId w:val="108"/>
        </w:numPr>
        <w:tabs>
          <w:tab w:val="left" w:pos="426"/>
        </w:tabs>
        <w:spacing w:after="0" w:line="100" w:lineRule="atLeast"/>
        <w:ind w:hanging="786"/>
        <w:jc w:val="both"/>
        <w:rPr>
          <w:rFonts w:ascii="Times New Roman" w:hAnsi="Times New Roman"/>
          <w:sz w:val="24"/>
          <w:szCs w:val="24"/>
          <w:u w:val="single"/>
        </w:rPr>
      </w:pPr>
      <w:r w:rsidRPr="007F4B0F">
        <w:rPr>
          <w:rFonts w:ascii="Times New Roman" w:hAnsi="Times New Roman"/>
          <w:b/>
          <w:sz w:val="24"/>
          <w:szCs w:val="24"/>
          <w:u w:val="single"/>
        </w:rPr>
        <w:t>Upravljanje in izvajanje projekta</w:t>
      </w:r>
    </w:p>
    <w:p w:rsidR="00B26960" w:rsidRPr="00184345" w:rsidRDefault="00B26960">
      <w:pPr>
        <w:tabs>
          <w:tab w:val="left" w:pos="851"/>
        </w:tabs>
        <w:spacing w:after="0" w:line="100" w:lineRule="atLeast"/>
        <w:jc w:val="both"/>
        <w:rPr>
          <w:rFonts w:ascii="Times New Roman" w:hAnsi="Times New Roman"/>
          <w:sz w:val="24"/>
          <w:szCs w:val="24"/>
          <w:u w:val="single"/>
          <w:lang w:val="en-US"/>
        </w:rPr>
      </w:pPr>
    </w:p>
    <w:p w:rsidR="00B26960" w:rsidRPr="00A819F8" w:rsidRDefault="00B26960" w:rsidP="00184345">
      <w:pPr>
        <w:numPr>
          <w:ilvl w:val="0"/>
          <w:numId w:val="24"/>
        </w:numPr>
        <w:spacing w:line="100" w:lineRule="atLeast"/>
        <w:ind w:left="567" w:hanging="567"/>
        <w:jc w:val="both"/>
        <w:rPr>
          <w:rFonts w:ascii="Times New Roman" w:hAnsi="Times New Roman"/>
          <w:sz w:val="24"/>
          <w:szCs w:val="24"/>
        </w:rPr>
      </w:pPr>
      <w:r>
        <w:rPr>
          <w:rFonts w:ascii="Times New Roman" w:hAnsi="Times New Roman"/>
          <w:sz w:val="24"/>
          <w:szCs w:val="24"/>
        </w:rPr>
        <w:t>Izračun zneska nepovratnih sredstev: znesek nepovratnih sredstev se izračuna tako, da se skupno število mesecev trajanja projekta pomnoži s prispevkom na enoto, ki se uporablja za upravičenca, kakor je določen v Prilogi IV k Sporazumu. Upravičenci se morajo o medsebojni razdelitvi zneska dogovoriti glede na svojo zadevno delovno obremenitev ter prispevek k aktivnostim in rezultatom projekta.</w:t>
      </w:r>
    </w:p>
    <w:p w:rsidR="00B26960" w:rsidRPr="003A408D" w:rsidRDefault="00B26960" w:rsidP="00184345">
      <w:pPr>
        <w:numPr>
          <w:ilvl w:val="0"/>
          <w:numId w:val="24"/>
        </w:numPr>
        <w:spacing w:line="100" w:lineRule="atLeast"/>
        <w:ind w:left="567" w:hanging="567"/>
        <w:jc w:val="both"/>
        <w:rPr>
          <w:rFonts w:ascii="Times New Roman" w:hAnsi="Times New Roman"/>
          <w:sz w:val="24"/>
          <w:szCs w:val="24"/>
        </w:rPr>
      </w:pPr>
      <w:r>
        <w:rPr>
          <w:rFonts w:ascii="Times New Roman" w:hAnsi="Times New Roman"/>
          <w:sz w:val="24"/>
          <w:szCs w:val="24"/>
        </w:rPr>
        <w:t xml:space="preserve">Sprožilni dogodek: dogodek, ki je pogoj za upravičenost do nepovratnih sredstev, je, da upravičenec izvaja aktivnosti projekta in dosega rezultate projekta, ki se krijejo iz te proračunske kategorije, v skladu z vlogo za nepovratna sredstva in odobritvijo nacionalne agencije. </w:t>
      </w:r>
    </w:p>
    <w:p w:rsidR="00B26960" w:rsidRPr="003A408D" w:rsidRDefault="00B26960" w:rsidP="00184345">
      <w:pPr>
        <w:numPr>
          <w:ilvl w:val="0"/>
          <w:numId w:val="24"/>
        </w:numPr>
        <w:spacing w:line="100" w:lineRule="atLeast"/>
        <w:ind w:left="567" w:hanging="567"/>
        <w:jc w:val="both"/>
        <w:rPr>
          <w:rFonts w:ascii="Times New Roman" w:hAnsi="Times New Roman"/>
          <w:sz w:val="24"/>
          <w:szCs w:val="24"/>
        </w:rPr>
      </w:pPr>
      <w:r>
        <w:rPr>
          <w:rFonts w:ascii="Times New Roman" w:hAnsi="Times New Roman"/>
          <w:sz w:val="24"/>
          <w:szCs w:val="24"/>
        </w:rPr>
        <w:t xml:space="preserve">Dokazila: dokazilo o izvedenih aktivnostih in doseženih rezultatih se zagotovi v obliki opisa teh aktivnosti in rezultatov v končnem poročilu. Poleg tega mora koordinator dosežene rezultate naložiti na platformo Erasmus+ za rezultate projektov in/ali jih dati na razpolago za preverjanja in revizije v prostorih upravičencev, odvisno od tega, kakšni so. </w:t>
      </w:r>
    </w:p>
    <w:p w:rsidR="00701E61" w:rsidRPr="00184345" w:rsidRDefault="00B26960" w:rsidP="00184345">
      <w:pPr>
        <w:pStyle w:val="ListParagraph"/>
        <w:numPr>
          <w:ilvl w:val="0"/>
          <w:numId w:val="24"/>
        </w:numPr>
        <w:spacing w:after="240"/>
        <w:ind w:left="567" w:hanging="567"/>
        <w:jc w:val="both"/>
        <w:rPr>
          <w:rFonts w:ascii="Times New Roman" w:hAnsi="Times New Roman" w:cs="Times New Roman"/>
        </w:rPr>
      </w:pPr>
      <w:r>
        <w:rPr>
          <w:rFonts w:ascii="Times New Roman" w:hAnsi="Times New Roman"/>
          <w:sz w:val="24"/>
          <w:szCs w:val="24"/>
        </w:rPr>
        <w:t>Poročanje: koordinator mora za projekt kot celoto poročati o končni razdelitvi sredstev ter izvedenih aktivnostih in rezultatih.</w:t>
      </w:r>
    </w:p>
    <w:p w:rsidR="00B26960" w:rsidRPr="007F4B0F" w:rsidRDefault="00B26960" w:rsidP="00184345">
      <w:pPr>
        <w:numPr>
          <w:ilvl w:val="0"/>
          <w:numId w:val="108"/>
        </w:numPr>
        <w:spacing w:after="0" w:line="100" w:lineRule="atLeast"/>
        <w:ind w:left="426" w:hanging="426"/>
        <w:jc w:val="both"/>
        <w:rPr>
          <w:rFonts w:ascii="Times New Roman" w:hAnsi="Times New Roman"/>
          <w:b/>
          <w:sz w:val="24"/>
          <w:szCs w:val="24"/>
          <w:u w:val="single"/>
          <w:shd w:val="clear" w:color="auto" w:fill="FFFF00"/>
        </w:rPr>
      </w:pPr>
      <w:r w:rsidRPr="007F4B0F">
        <w:rPr>
          <w:rFonts w:ascii="Times New Roman" w:hAnsi="Times New Roman"/>
          <w:b/>
          <w:sz w:val="24"/>
          <w:szCs w:val="24"/>
          <w:u w:val="single"/>
        </w:rPr>
        <w:t>Mednarodna projektna srečanja</w:t>
      </w:r>
    </w:p>
    <w:p w:rsidR="00184345" w:rsidRPr="00184345" w:rsidRDefault="00184345" w:rsidP="00184345">
      <w:pPr>
        <w:spacing w:after="0" w:line="100" w:lineRule="atLeast"/>
        <w:ind w:left="425"/>
        <w:jc w:val="both"/>
        <w:rPr>
          <w:rFonts w:ascii="Times New Roman" w:hAnsi="Times New Roman"/>
          <w:b/>
          <w:sz w:val="24"/>
          <w:szCs w:val="24"/>
          <w:highlight w:val="yellow"/>
          <w:u w:val="single"/>
          <w:shd w:val="clear" w:color="auto" w:fill="FFFF00"/>
          <w:lang w:val="en-US"/>
        </w:rPr>
      </w:pPr>
    </w:p>
    <w:p w:rsidR="00B26960" w:rsidRPr="00224CA0" w:rsidRDefault="00B26960" w:rsidP="00184345">
      <w:pPr>
        <w:pStyle w:val="ListParagraph"/>
        <w:numPr>
          <w:ilvl w:val="0"/>
          <w:numId w:val="89"/>
        </w:numPr>
        <w:ind w:left="567" w:hanging="567"/>
        <w:jc w:val="both"/>
        <w:rPr>
          <w:rFonts w:ascii="Times New Roman" w:hAnsi="Times New Roman" w:cs="Times New Roman"/>
          <w:sz w:val="24"/>
          <w:szCs w:val="24"/>
        </w:rPr>
      </w:pPr>
      <w:r>
        <w:rPr>
          <w:rFonts w:ascii="Times New Roman" w:hAnsi="Times New Roman"/>
          <w:sz w:val="24"/>
          <w:szCs w:val="24"/>
        </w:rPr>
        <w:lastRenderedPageBreak/>
        <w:t xml:space="preserve">Izračun zneska nepovratnih sredstev: znesek nepovratnih sredstev se izračuna tako, da se skupno število udeležb pomnoži s prispevkom na enoto, ki se uporablja, kakor je določen v Prilogi IV k Sporazumu. </w:t>
      </w:r>
    </w:p>
    <w:p w:rsidR="00B26960" w:rsidRPr="007F4828" w:rsidRDefault="00B26960" w:rsidP="00184345">
      <w:pPr>
        <w:pStyle w:val="ListParagraph"/>
        <w:ind w:left="567" w:hanging="567"/>
        <w:jc w:val="both"/>
        <w:rPr>
          <w:rFonts w:ascii="Times New Roman" w:hAnsi="Times New Roman" w:cs="Times New Roman"/>
          <w:sz w:val="24"/>
          <w:szCs w:val="24"/>
        </w:rPr>
      </w:pPr>
    </w:p>
    <w:p w:rsidR="00B26960" w:rsidRPr="001A6DB7" w:rsidRDefault="00B26960" w:rsidP="00184345">
      <w:pPr>
        <w:pStyle w:val="ListParagraph"/>
        <w:ind w:left="567"/>
        <w:jc w:val="both"/>
        <w:rPr>
          <w:rFonts w:ascii="Times New Roman" w:hAnsi="Times New Roman" w:cs="Times New Roman"/>
          <w:sz w:val="24"/>
          <w:szCs w:val="24"/>
        </w:rPr>
      </w:pPr>
      <w:r>
        <w:rPr>
          <w:rFonts w:ascii="Times New Roman" w:hAnsi="Times New Roman"/>
          <w:sz w:val="24"/>
          <w:szCs w:val="24"/>
        </w:rPr>
        <w:t xml:space="preserve">Kraj izvora se praviloma razume kot kraj, v katerem ima sedež organizacija pošiljateljica, kraj izvajanja pa kot kraj, v katerem ima sedež organizacija gostiteljica. Če se sporoči drug kraj izvora ali izvajanja, mora upravičenec navesti razlog za to spremembo. </w:t>
      </w:r>
    </w:p>
    <w:p w:rsidR="00B26960" w:rsidRPr="001A6DB7" w:rsidRDefault="00B26960" w:rsidP="00184345">
      <w:pPr>
        <w:pStyle w:val="ListParagraph"/>
        <w:ind w:left="567" w:hanging="567"/>
        <w:jc w:val="both"/>
        <w:rPr>
          <w:rFonts w:ascii="Times New Roman" w:hAnsi="Times New Roman" w:cs="Times New Roman"/>
          <w:sz w:val="24"/>
          <w:szCs w:val="24"/>
        </w:rPr>
      </w:pPr>
    </w:p>
    <w:p w:rsidR="00B26960" w:rsidRPr="001A6DB7" w:rsidRDefault="00B26960" w:rsidP="00184345">
      <w:pPr>
        <w:numPr>
          <w:ilvl w:val="0"/>
          <w:numId w:val="89"/>
        </w:numPr>
        <w:spacing w:line="100" w:lineRule="atLeast"/>
        <w:ind w:left="567" w:hanging="567"/>
        <w:jc w:val="both"/>
        <w:rPr>
          <w:rFonts w:ascii="Times New Roman" w:hAnsi="Times New Roman"/>
          <w:sz w:val="24"/>
          <w:szCs w:val="24"/>
        </w:rPr>
      </w:pPr>
      <w:r>
        <w:rPr>
          <w:rFonts w:ascii="Times New Roman" w:hAnsi="Times New Roman"/>
          <w:sz w:val="24"/>
          <w:szCs w:val="24"/>
        </w:rPr>
        <w:t>Sprožilni dogodek: dogodek, ki je pogoj za upravičenost do nepovratnih sredstev, je, da je udeleženec dejansko sodeloval na mednarodnem projektnem srečanju.</w:t>
      </w:r>
    </w:p>
    <w:p w:rsidR="00B26960" w:rsidRPr="00F70C1D" w:rsidRDefault="00B26960" w:rsidP="00184345">
      <w:pPr>
        <w:numPr>
          <w:ilvl w:val="0"/>
          <w:numId w:val="89"/>
        </w:numPr>
        <w:spacing w:line="100" w:lineRule="atLeast"/>
        <w:ind w:left="567" w:hanging="567"/>
        <w:jc w:val="both"/>
        <w:rPr>
          <w:rFonts w:ascii="Times New Roman" w:hAnsi="Times New Roman"/>
          <w:sz w:val="24"/>
          <w:szCs w:val="24"/>
        </w:rPr>
      </w:pPr>
      <w:r>
        <w:rPr>
          <w:rFonts w:ascii="Times New Roman" w:hAnsi="Times New Roman"/>
          <w:sz w:val="24"/>
          <w:szCs w:val="24"/>
        </w:rPr>
        <w:t xml:space="preserve">Dokazila: </w:t>
      </w:r>
    </w:p>
    <w:p w:rsidR="00B26960" w:rsidRPr="00F70C1D" w:rsidRDefault="00B26960" w:rsidP="003A408D">
      <w:pPr>
        <w:numPr>
          <w:ilvl w:val="0"/>
          <w:numId w:val="109"/>
        </w:numPr>
        <w:spacing w:line="100" w:lineRule="atLeast"/>
        <w:ind w:left="993" w:hanging="284"/>
        <w:jc w:val="both"/>
        <w:rPr>
          <w:rFonts w:ascii="Times New Roman" w:hAnsi="Times New Roman"/>
          <w:sz w:val="24"/>
          <w:szCs w:val="24"/>
        </w:rPr>
      </w:pPr>
      <w:r>
        <w:rPr>
          <w:rFonts w:ascii="Times New Roman" w:hAnsi="Times New Roman"/>
          <w:sz w:val="24"/>
          <w:szCs w:val="24"/>
        </w:rPr>
        <w:t xml:space="preserve">za pot med organizacijo pošiljateljico in organizacijo gostiteljico: dokazilo o udeležbi v aktivnosti v obliki seznama prisotnosti ali individualnih potrdil o prisotnosti, ki jih podpiše organizacija gostiteljica in v katerih so navedeni ime udeleženca, namen aktivnosti ter njen začetni in končni datum;  </w:t>
      </w:r>
    </w:p>
    <w:p w:rsidR="00B26960" w:rsidRPr="00B203B5" w:rsidRDefault="00B26960" w:rsidP="003A408D">
      <w:pPr>
        <w:pStyle w:val="ListParagraph"/>
        <w:numPr>
          <w:ilvl w:val="0"/>
          <w:numId w:val="109"/>
        </w:numPr>
        <w:spacing w:after="200" w:line="276" w:lineRule="auto"/>
        <w:ind w:left="993" w:hanging="284"/>
        <w:jc w:val="both"/>
        <w:rPr>
          <w:rFonts w:ascii="Times New Roman" w:hAnsi="Times New Roman" w:cs="Times New Roman"/>
          <w:sz w:val="24"/>
          <w:szCs w:val="24"/>
        </w:rPr>
      </w:pPr>
      <w:r>
        <w:rPr>
          <w:rFonts w:ascii="Times New Roman" w:hAnsi="Times New Roman"/>
          <w:sz w:val="24"/>
          <w:szCs w:val="24"/>
        </w:rPr>
        <w:t xml:space="preserve">kadar pot poteka iz kraja, ki ni kraj sedeža organizacije pošiljateljice, in/ali pot poteka v kraj, ki ni kraj sedeža organizacije gostiteljice, zaradi česar se razpon razdalje poti spremeni, je treba dejanski načrt poti dokazati z vozovnicami ali drugimi računi, na katerih sta navedena kraj odhoda in kraj prihoda; </w:t>
      </w:r>
    </w:p>
    <w:p w:rsidR="00B26960" w:rsidRPr="00B203B5" w:rsidRDefault="00B26960" w:rsidP="003A408D">
      <w:pPr>
        <w:numPr>
          <w:ilvl w:val="0"/>
          <w:numId w:val="109"/>
        </w:numPr>
        <w:spacing w:line="100" w:lineRule="atLeast"/>
        <w:ind w:left="993" w:hanging="284"/>
        <w:jc w:val="both"/>
        <w:rPr>
          <w:rFonts w:ascii="Times New Roman" w:hAnsi="Times New Roman"/>
          <w:sz w:val="24"/>
          <w:szCs w:val="24"/>
        </w:rPr>
      </w:pPr>
      <w:r>
        <w:rPr>
          <w:rFonts w:ascii="Times New Roman" w:hAnsi="Times New Roman"/>
          <w:sz w:val="24"/>
          <w:szCs w:val="24"/>
        </w:rPr>
        <w:t xml:space="preserve">dokazilo o udeležbi na mednarodnem projektnem srečanju v obliki seznama udeležencev, ki ga podpišejo udeleženci in organizacija gostiteljica in na katerem so navedeni ime, datum in kraj mednarodnega projektnega srečanja ter za vsakega udeleženca: ime in podpis osebe ter ime in naslov organizacije, ki je osebo poslala; </w:t>
      </w:r>
    </w:p>
    <w:p w:rsidR="00701E61" w:rsidRPr="00184345" w:rsidRDefault="00B26960" w:rsidP="003A408D">
      <w:pPr>
        <w:numPr>
          <w:ilvl w:val="0"/>
          <w:numId w:val="109"/>
        </w:numPr>
        <w:spacing w:line="100" w:lineRule="atLeast"/>
        <w:ind w:left="993" w:hanging="284"/>
        <w:jc w:val="both"/>
        <w:rPr>
          <w:rFonts w:ascii="Times New Roman" w:hAnsi="Times New Roman"/>
        </w:rPr>
      </w:pPr>
      <w:r>
        <w:rPr>
          <w:rFonts w:ascii="Times New Roman" w:hAnsi="Times New Roman"/>
          <w:sz w:val="24"/>
          <w:szCs w:val="24"/>
        </w:rPr>
        <w:t>podroben dnevni red in vsi dokumenti, ki so se uporabili ali razdelili na mednarodnem projektnem srečanju.</w:t>
      </w:r>
    </w:p>
    <w:p w:rsidR="00B26960" w:rsidRPr="00AE3A4B" w:rsidRDefault="00B26960" w:rsidP="00184345">
      <w:pPr>
        <w:numPr>
          <w:ilvl w:val="0"/>
          <w:numId w:val="89"/>
        </w:numPr>
        <w:ind w:left="567" w:hanging="567"/>
        <w:rPr>
          <w:rFonts w:ascii="Times New Roman" w:hAnsi="Times New Roman"/>
          <w:sz w:val="24"/>
          <w:szCs w:val="24"/>
        </w:rPr>
      </w:pPr>
      <w:r>
        <w:rPr>
          <w:rFonts w:ascii="Times New Roman" w:hAnsi="Times New Roman"/>
          <w:sz w:val="24"/>
          <w:szCs w:val="24"/>
        </w:rPr>
        <w:t xml:space="preserve">Poročanje: </w:t>
      </w:r>
    </w:p>
    <w:p w:rsidR="00B26960" w:rsidRPr="007F4828" w:rsidRDefault="00B26960" w:rsidP="003A408D">
      <w:pPr>
        <w:pStyle w:val="ListParagraph"/>
        <w:numPr>
          <w:ilvl w:val="0"/>
          <w:numId w:val="110"/>
        </w:numPr>
        <w:spacing w:after="240"/>
        <w:ind w:left="993" w:hanging="284"/>
        <w:jc w:val="both"/>
        <w:rPr>
          <w:rFonts w:ascii="Times New Roman" w:hAnsi="Times New Roman" w:cs="Times New Roman"/>
          <w:sz w:val="24"/>
          <w:szCs w:val="24"/>
        </w:rPr>
      </w:pPr>
      <w:r>
        <w:rPr>
          <w:rFonts w:ascii="Times New Roman" w:hAnsi="Times New Roman"/>
          <w:sz w:val="24"/>
          <w:szCs w:val="24"/>
        </w:rPr>
        <w:t xml:space="preserve">koordinator mora poročati o kraju srečanja, datumu in številu udeležencev; </w:t>
      </w:r>
    </w:p>
    <w:p w:rsidR="00701E61" w:rsidRPr="00184345" w:rsidRDefault="00B26960" w:rsidP="003A408D">
      <w:pPr>
        <w:numPr>
          <w:ilvl w:val="0"/>
          <w:numId w:val="110"/>
        </w:numPr>
        <w:ind w:left="993" w:hanging="284"/>
        <w:jc w:val="both"/>
        <w:rPr>
          <w:rFonts w:ascii="Times New Roman" w:hAnsi="Times New Roman"/>
        </w:rPr>
      </w:pPr>
      <w:r>
        <w:rPr>
          <w:rFonts w:ascii="Times New Roman" w:hAnsi="Times New Roman"/>
          <w:sz w:val="24"/>
          <w:szCs w:val="24"/>
        </w:rPr>
        <w:t>upravičenci morajo biti v vseh primerih sposobni dokazati obstoj formalne povezave z osebami, ki se udeležijo mednarodnega projektnega srečanja, ne glede na to, ali pri projektu sodelujejo kot osebje (poklicno ali prostovoljno) ali kot učeči se organizacij upravičenk.</w:t>
      </w:r>
    </w:p>
    <w:p w:rsidR="00B26960" w:rsidRPr="00CB61E1" w:rsidRDefault="00B26960" w:rsidP="00184345">
      <w:pPr>
        <w:numPr>
          <w:ilvl w:val="0"/>
          <w:numId w:val="108"/>
        </w:numPr>
        <w:ind w:left="426" w:hanging="426"/>
        <w:jc w:val="both"/>
        <w:rPr>
          <w:rFonts w:ascii="Times New Roman" w:hAnsi="Times New Roman"/>
          <w:sz w:val="24"/>
          <w:szCs w:val="24"/>
        </w:rPr>
      </w:pPr>
      <w:r w:rsidRPr="00CB61E1">
        <w:rPr>
          <w:rFonts w:ascii="Times New Roman" w:hAnsi="Times New Roman"/>
          <w:b/>
          <w:sz w:val="24"/>
          <w:szCs w:val="24"/>
          <w:u w:val="single"/>
        </w:rPr>
        <w:t>Intelektualni rezultati</w:t>
      </w:r>
    </w:p>
    <w:p w:rsidR="00B26960" w:rsidRPr="007F4828" w:rsidRDefault="00B26960" w:rsidP="00184345">
      <w:pPr>
        <w:pStyle w:val="ListParagraph"/>
        <w:numPr>
          <w:ilvl w:val="0"/>
          <w:numId w:val="71"/>
        </w:numPr>
        <w:spacing w:after="240"/>
        <w:ind w:left="567" w:hanging="567"/>
        <w:jc w:val="both"/>
        <w:rPr>
          <w:rFonts w:ascii="Times New Roman" w:hAnsi="Times New Roman" w:cs="Times New Roman"/>
          <w:sz w:val="24"/>
          <w:szCs w:val="24"/>
        </w:rPr>
      </w:pPr>
      <w:r>
        <w:rPr>
          <w:rFonts w:ascii="Times New Roman" w:hAnsi="Times New Roman"/>
          <w:sz w:val="24"/>
          <w:szCs w:val="24"/>
        </w:rPr>
        <w:t xml:space="preserve">Izračun zneska nepovratnih sredstev: znesek nepovratnih sredstev se izračuna tako, da se število delovnih dni osebja upravičencev pomnoži s prispevkom na enoto, ki </w:t>
      </w:r>
      <w:r>
        <w:rPr>
          <w:rFonts w:ascii="Times New Roman" w:hAnsi="Times New Roman"/>
          <w:sz w:val="24"/>
          <w:szCs w:val="24"/>
        </w:rPr>
        <w:lastRenderedPageBreak/>
        <w:t>se uporablja na dan za kategorijo osebja za državo, v kateri ima zadevni upravičenec sedež, kakor je določeno v Prilogi IV k Sporazumu. Zadevna kategorija ni povezana s strokovnim profilom osebe, ampak s funkcijo, ki jo oseba opravlja pri razvoju intelektualnih rezultatov.</w:t>
      </w:r>
    </w:p>
    <w:p w:rsidR="00B26960" w:rsidRPr="001F5BC9" w:rsidRDefault="00B26960" w:rsidP="00184345">
      <w:pPr>
        <w:pStyle w:val="ListParagraph"/>
        <w:spacing w:after="240"/>
        <w:ind w:left="567"/>
        <w:jc w:val="both"/>
        <w:rPr>
          <w:rFonts w:ascii="Times New Roman" w:hAnsi="Times New Roman" w:cs="Times New Roman"/>
          <w:sz w:val="24"/>
          <w:szCs w:val="24"/>
        </w:rPr>
      </w:pPr>
      <w:r>
        <w:rPr>
          <w:rFonts w:ascii="Times New Roman" w:hAnsi="Times New Roman"/>
          <w:sz w:val="24"/>
          <w:szCs w:val="24"/>
        </w:rPr>
        <w:t>Stroški osebja za menedžerje in administrativno osebje naj bi bili kriti že v okviru proračunske postavke „Upravljanje in izvajanje projekta“. Ti stroški se lahko v okviru proračunske postavke „Intelektualni rezultati“ uporabijo le, če se zanje odda vloga in jih odobri nacionalna agencija, kakor je določeno v Prilogi II.</w:t>
      </w:r>
    </w:p>
    <w:p w:rsidR="00B26960" w:rsidRPr="001A6DB7" w:rsidRDefault="00B26960" w:rsidP="00184345">
      <w:pPr>
        <w:numPr>
          <w:ilvl w:val="0"/>
          <w:numId w:val="71"/>
        </w:numPr>
        <w:spacing w:line="100" w:lineRule="atLeast"/>
        <w:ind w:left="567" w:hanging="567"/>
        <w:jc w:val="both"/>
        <w:rPr>
          <w:rFonts w:ascii="Times New Roman" w:hAnsi="Times New Roman"/>
          <w:sz w:val="24"/>
          <w:szCs w:val="24"/>
        </w:rPr>
      </w:pPr>
      <w:r>
        <w:rPr>
          <w:rFonts w:ascii="Times New Roman" w:hAnsi="Times New Roman"/>
          <w:sz w:val="24"/>
          <w:szCs w:val="24"/>
        </w:rPr>
        <w:t>Sprožilni dogodek: dogodek, ki je pogoj za upravičenost do nepovratnih sredstev, so pripravljeni intelektualni rezultati, ki so v skladu z oceno nacionalne agencije ustrezne kakovosti.</w:t>
      </w:r>
    </w:p>
    <w:p w:rsidR="00B26960" w:rsidRPr="001A6DB7" w:rsidRDefault="00B26960" w:rsidP="00184345">
      <w:pPr>
        <w:numPr>
          <w:ilvl w:val="0"/>
          <w:numId w:val="71"/>
        </w:numPr>
        <w:spacing w:line="100" w:lineRule="atLeast"/>
        <w:ind w:left="567" w:hanging="567"/>
        <w:jc w:val="both"/>
        <w:rPr>
          <w:rFonts w:ascii="Times New Roman" w:hAnsi="Times New Roman"/>
          <w:sz w:val="24"/>
          <w:szCs w:val="24"/>
        </w:rPr>
      </w:pPr>
      <w:r>
        <w:rPr>
          <w:rFonts w:ascii="Times New Roman" w:hAnsi="Times New Roman"/>
          <w:sz w:val="24"/>
          <w:szCs w:val="24"/>
        </w:rPr>
        <w:t xml:space="preserve">Dokazila: </w:t>
      </w:r>
    </w:p>
    <w:p w:rsidR="00B26960" w:rsidRDefault="00B26960" w:rsidP="003A408D">
      <w:pPr>
        <w:numPr>
          <w:ilvl w:val="0"/>
          <w:numId w:val="111"/>
        </w:numPr>
        <w:spacing w:after="0" w:line="100" w:lineRule="atLeast"/>
        <w:ind w:left="992" w:hanging="283"/>
        <w:jc w:val="both"/>
        <w:rPr>
          <w:rFonts w:ascii="Times New Roman" w:hAnsi="Times New Roman"/>
          <w:sz w:val="24"/>
          <w:szCs w:val="24"/>
        </w:rPr>
      </w:pPr>
      <w:r>
        <w:rPr>
          <w:rFonts w:ascii="Times New Roman" w:hAnsi="Times New Roman"/>
          <w:sz w:val="24"/>
          <w:szCs w:val="24"/>
        </w:rPr>
        <w:t>dokazilo o pripravljenih intelektualnih rezultatih, ki jih je treba naložiti na platformo Erasmus+ za rezultate projektov in/ali morajo biti na voljo za preverjanja in revizije v prostorih upravičencev, odvisno od tega, kakšni so;</w:t>
      </w:r>
    </w:p>
    <w:p w:rsidR="00184345" w:rsidRPr="001A6DB7" w:rsidRDefault="00184345" w:rsidP="003A408D">
      <w:pPr>
        <w:spacing w:after="0" w:line="100" w:lineRule="atLeast"/>
        <w:ind w:left="992" w:hanging="283"/>
        <w:jc w:val="both"/>
        <w:rPr>
          <w:rFonts w:ascii="Times New Roman" w:hAnsi="Times New Roman"/>
          <w:sz w:val="24"/>
          <w:szCs w:val="24"/>
        </w:rPr>
      </w:pPr>
    </w:p>
    <w:p w:rsidR="00B26960" w:rsidRPr="001A6DB7" w:rsidRDefault="00B26960" w:rsidP="003A408D">
      <w:pPr>
        <w:pStyle w:val="ListParagraph"/>
        <w:numPr>
          <w:ilvl w:val="0"/>
          <w:numId w:val="111"/>
        </w:numPr>
        <w:ind w:left="992" w:hanging="283"/>
        <w:jc w:val="both"/>
        <w:rPr>
          <w:rFonts w:ascii="Times New Roman" w:hAnsi="Times New Roman" w:cs="Times New Roman"/>
          <w:sz w:val="24"/>
          <w:szCs w:val="24"/>
        </w:rPr>
      </w:pPr>
      <w:r>
        <w:rPr>
          <w:rFonts w:ascii="Times New Roman" w:hAnsi="Times New Roman"/>
          <w:sz w:val="24"/>
          <w:szCs w:val="24"/>
        </w:rPr>
        <w:t xml:space="preserve">dokazilo o času, ki ga je osebje vložilo v pripravo intelektualnih rezultatov, in sicer v obliki časovne evidence za vsako osebo, na kateri so navedeni ime osebe, kategorija osebja glede na štiri kategorije iz Priloge IV, datumi in skupno število delovnih dni osebe pri pripravi intelektualnih rezultatov;  </w:t>
      </w:r>
    </w:p>
    <w:p w:rsidR="00B26960" w:rsidRPr="001A6DB7" w:rsidRDefault="00B26960" w:rsidP="003A408D">
      <w:pPr>
        <w:pStyle w:val="ListParagraph"/>
        <w:ind w:left="992" w:hanging="283"/>
        <w:jc w:val="both"/>
        <w:rPr>
          <w:rFonts w:ascii="Times New Roman" w:hAnsi="Times New Roman" w:cs="Times New Roman"/>
          <w:sz w:val="24"/>
          <w:szCs w:val="24"/>
        </w:rPr>
      </w:pPr>
    </w:p>
    <w:p w:rsidR="00B26960" w:rsidRDefault="00B26960" w:rsidP="003A408D">
      <w:pPr>
        <w:pStyle w:val="ListParagraph"/>
        <w:numPr>
          <w:ilvl w:val="0"/>
          <w:numId w:val="111"/>
        </w:numPr>
        <w:ind w:left="992" w:hanging="283"/>
        <w:jc w:val="both"/>
        <w:rPr>
          <w:rFonts w:ascii="Times New Roman" w:hAnsi="Times New Roman" w:cs="Times New Roman"/>
          <w:sz w:val="24"/>
          <w:szCs w:val="24"/>
        </w:rPr>
      </w:pPr>
      <w:r>
        <w:rPr>
          <w:rFonts w:ascii="Times New Roman" w:hAnsi="Times New Roman"/>
          <w:sz w:val="24"/>
          <w:szCs w:val="24"/>
        </w:rPr>
        <w:t xml:space="preserve">dokazilo o naravi odnosa med osebo in zadevnim upravičencem (kot je vrsta pogodbe o zaposlitvi, prostovoljstvo, lastništvo MSP itd.), kot je evidentirano v uradnih evidencah upravičenca. Upravičenci morajo biti v vseh primerih sposobni dokazati obstoj formalne povezave z zadevno osebo, ne glede na to, ali oseba pri projektu sodeluje poklicno ali prostovoljno. Osebe, ki za upravičenca delajo na podlagi pogodbe o storitvah (npr. prevajalci, oblikovalec spletnih strani), se ne štejejo za osebje zadevne organizacije. Njihov delovni čas se zato ne more uveljavljati v okviru postavke „Intelektualni rezultati“, je pa lahko upravičen v okviru postavke „Izredni stroški“ pod pogoji, določenimi v povezanem oddelku v nadaljevanju. </w:t>
      </w:r>
    </w:p>
    <w:p w:rsidR="00184345" w:rsidRPr="00F70C1D" w:rsidRDefault="00184345" w:rsidP="003A408D">
      <w:pPr>
        <w:pStyle w:val="ListParagraph"/>
        <w:ind w:left="0" w:hanging="283"/>
        <w:jc w:val="both"/>
        <w:rPr>
          <w:rFonts w:ascii="Times New Roman" w:hAnsi="Times New Roman" w:cs="Times New Roman"/>
          <w:sz w:val="24"/>
          <w:szCs w:val="24"/>
        </w:rPr>
      </w:pPr>
    </w:p>
    <w:p w:rsidR="00B26960" w:rsidRPr="00F70C1D" w:rsidRDefault="00B26960" w:rsidP="00184345">
      <w:pPr>
        <w:pStyle w:val="ListParagraph"/>
        <w:numPr>
          <w:ilvl w:val="0"/>
          <w:numId w:val="71"/>
        </w:numPr>
        <w:spacing w:after="240"/>
        <w:ind w:left="567" w:hanging="567"/>
        <w:jc w:val="both"/>
        <w:rPr>
          <w:rFonts w:ascii="Times New Roman" w:hAnsi="Times New Roman" w:cs="Times New Roman"/>
          <w:sz w:val="24"/>
          <w:szCs w:val="24"/>
        </w:rPr>
      </w:pPr>
      <w:r>
        <w:rPr>
          <w:rFonts w:ascii="Times New Roman" w:hAnsi="Times New Roman"/>
          <w:sz w:val="24"/>
          <w:szCs w:val="24"/>
        </w:rPr>
        <w:t xml:space="preserve">Poročanje: </w:t>
      </w:r>
    </w:p>
    <w:p w:rsidR="00701E61" w:rsidRPr="00A819F8" w:rsidRDefault="00B26960" w:rsidP="003A408D">
      <w:pPr>
        <w:pStyle w:val="ListParagraph"/>
        <w:numPr>
          <w:ilvl w:val="0"/>
          <w:numId w:val="112"/>
        </w:numPr>
        <w:tabs>
          <w:tab w:val="left" w:pos="993"/>
        </w:tabs>
        <w:spacing w:after="240"/>
        <w:ind w:left="993" w:hanging="284"/>
        <w:jc w:val="both"/>
        <w:rPr>
          <w:rFonts w:ascii="Times New Roman" w:hAnsi="Times New Roman" w:cs="Times New Roman"/>
        </w:rPr>
      </w:pPr>
      <w:r>
        <w:rPr>
          <w:rFonts w:ascii="Times New Roman" w:hAnsi="Times New Roman"/>
          <w:sz w:val="24"/>
          <w:szCs w:val="24"/>
        </w:rPr>
        <w:t>koordinator mora za projekt kot celoto poročati o izvedenih aktivnostih in pripravljenih rezultatih. Vključiti mora informacije o začetnem in končnem datumu ter številu delovnih dni na kategorijo osebja za vsakega upravičenca, ki neposredno sodeluje pri razvoju intelektualnih rezultatov.</w:t>
      </w:r>
    </w:p>
    <w:p w:rsidR="00B26960" w:rsidRPr="00CB61E1" w:rsidRDefault="00B26960" w:rsidP="00A819F8">
      <w:pPr>
        <w:numPr>
          <w:ilvl w:val="0"/>
          <w:numId w:val="108"/>
        </w:numPr>
        <w:spacing w:line="100" w:lineRule="atLeast"/>
        <w:ind w:left="426" w:hanging="426"/>
        <w:jc w:val="both"/>
        <w:rPr>
          <w:rFonts w:ascii="Times New Roman" w:hAnsi="Times New Roman"/>
          <w:sz w:val="24"/>
          <w:szCs w:val="24"/>
          <w:u w:val="single"/>
        </w:rPr>
      </w:pPr>
      <w:r w:rsidRPr="00CB61E1">
        <w:rPr>
          <w:rFonts w:ascii="Times New Roman" w:hAnsi="Times New Roman"/>
          <w:b/>
          <w:sz w:val="24"/>
          <w:szCs w:val="24"/>
          <w:u w:val="single"/>
        </w:rPr>
        <w:t>Multiplikativni dogodki</w:t>
      </w:r>
    </w:p>
    <w:p w:rsidR="00B26960" w:rsidRPr="00883D99" w:rsidRDefault="00B26960">
      <w:pPr>
        <w:tabs>
          <w:tab w:val="left" w:pos="851"/>
        </w:tabs>
        <w:spacing w:after="0" w:line="100" w:lineRule="atLeast"/>
        <w:jc w:val="both"/>
        <w:rPr>
          <w:rFonts w:ascii="Times New Roman" w:hAnsi="Times New Roman"/>
          <w:sz w:val="24"/>
          <w:szCs w:val="24"/>
          <w:u w:val="single"/>
        </w:rPr>
      </w:pPr>
    </w:p>
    <w:p w:rsidR="00B26960" w:rsidRPr="001F5BC9" w:rsidRDefault="00B26960" w:rsidP="003A408D">
      <w:pPr>
        <w:numPr>
          <w:ilvl w:val="0"/>
          <w:numId w:val="27"/>
        </w:numPr>
        <w:spacing w:line="100" w:lineRule="atLeast"/>
        <w:ind w:left="567" w:hanging="567"/>
        <w:jc w:val="both"/>
        <w:rPr>
          <w:rFonts w:ascii="Times New Roman" w:hAnsi="Times New Roman"/>
          <w:sz w:val="24"/>
          <w:szCs w:val="24"/>
        </w:rPr>
      </w:pPr>
      <w:r>
        <w:rPr>
          <w:rFonts w:ascii="Times New Roman" w:hAnsi="Times New Roman"/>
          <w:sz w:val="24"/>
          <w:szCs w:val="24"/>
        </w:rPr>
        <w:lastRenderedPageBreak/>
        <w:t xml:space="preserve">Izračun zneska nepovratnih sredstev: znesek nepovratnih sredstev se izračuna tako, da se število udeležencev iz organizacij, ki niso upravičenec, pridruženih partnerjev, ki gostijo multiplikativni dogodek, in drugih partnerskih organizacij projekta, kakor so določene v Sporazumu, pomnoži s prispevkom na enoto, ki se uporablja na udeleženca, kakor je določen v Prilogi IV k Sporazumu. </w:t>
      </w:r>
    </w:p>
    <w:p w:rsidR="00B26960" w:rsidRPr="001A6DB7" w:rsidRDefault="00B26960" w:rsidP="003A408D">
      <w:pPr>
        <w:numPr>
          <w:ilvl w:val="0"/>
          <w:numId w:val="27"/>
        </w:numPr>
        <w:spacing w:line="100" w:lineRule="atLeast"/>
        <w:ind w:left="567" w:hanging="567"/>
        <w:jc w:val="both"/>
        <w:rPr>
          <w:rFonts w:ascii="Times New Roman" w:hAnsi="Times New Roman"/>
          <w:sz w:val="24"/>
          <w:szCs w:val="24"/>
        </w:rPr>
      </w:pPr>
      <w:r>
        <w:rPr>
          <w:rFonts w:ascii="Times New Roman" w:hAnsi="Times New Roman"/>
          <w:sz w:val="24"/>
          <w:szCs w:val="24"/>
        </w:rPr>
        <w:t>Sprožilni dogodek: dogodek, ki je pogoj za upravičenost do nepovratnih sredstev, je izvedba multiplikativnega dogodka, ki je v skladu z oceno nacionalne agencije ustrezne kakovosti.</w:t>
      </w:r>
    </w:p>
    <w:p w:rsidR="00B26960" w:rsidRPr="001A6DB7" w:rsidRDefault="00B26960" w:rsidP="003A408D">
      <w:pPr>
        <w:numPr>
          <w:ilvl w:val="0"/>
          <w:numId w:val="27"/>
        </w:numPr>
        <w:spacing w:line="100" w:lineRule="atLeast"/>
        <w:ind w:left="567" w:hanging="567"/>
        <w:jc w:val="both"/>
        <w:rPr>
          <w:rFonts w:ascii="Times New Roman" w:hAnsi="Times New Roman"/>
          <w:sz w:val="24"/>
          <w:szCs w:val="24"/>
        </w:rPr>
      </w:pPr>
      <w:r>
        <w:rPr>
          <w:rFonts w:ascii="Times New Roman" w:hAnsi="Times New Roman"/>
          <w:sz w:val="24"/>
          <w:szCs w:val="24"/>
        </w:rPr>
        <w:t xml:space="preserve">Dokazila: </w:t>
      </w:r>
    </w:p>
    <w:p w:rsidR="00B26960" w:rsidRPr="00F70C1D" w:rsidRDefault="00B26960" w:rsidP="003A408D">
      <w:pPr>
        <w:numPr>
          <w:ilvl w:val="0"/>
          <w:numId w:val="113"/>
        </w:numPr>
        <w:spacing w:line="100" w:lineRule="atLeast"/>
        <w:ind w:left="993" w:hanging="284"/>
        <w:jc w:val="both"/>
        <w:rPr>
          <w:rFonts w:ascii="Times New Roman" w:hAnsi="Times New Roman"/>
          <w:sz w:val="24"/>
          <w:szCs w:val="24"/>
        </w:rPr>
      </w:pPr>
      <w:r>
        <w:rPr>
          <w:rFonts w:ascii="Times New Roman" w:hAnsi="Times New Roman"/>
          <w:sz w:val="24"/>
          <w:szCs w:val="24"/>
        </w:rPr>
        <w:t xml:space="preserve">dokazilo o udeležbi na multiplikativnem dogodku v obliki seznama udeležencev, ki ga podpišejo udeleženci in na katerem so navedeni ime, datum in kraj multiplikativnega dogodka ter za vsakega udeleženca: ime in podpis osebe ter ime in naslov organizacije, ki je osebo poslala (če je relevantno); </w:t>
      </w:r>
    </w:p>
    <w:p w:rsidR="00B26960" w:rsidRPr="00F70C1D" w:rsidRDefault="00B26960" w:rsidP="003A408D">
      <w:pPr>
        <w:numPr>
          <w:ilvl w:val="0"/>
          <w:numId w:val="113"/>
        </w:numPr>
        <w:spacing w:line="100" w:lineRule="atLeast"/>
        <w:ind w:left="993" w:hanging="284"/>
        <w:jc w:val="both"/>
        <w:rPr>
          <w:rFonts w:ascii="Times New Roman" w:hAnsi="Times New Roman"/>
          <w:sz w:val="24"/>
          <w:szCs w:val="24"/>
        </w:rPr>
      </w:pPr>
      <w:r>
        <w:rPr>
          <w:rFonts w:ascii="Times New Roman" w:hAnsi="Times New Roman"/>
          <w:sz w:val="24"/>
          <w:szCs w:val="24"/>
        </w:rPr>
        <w:t>podroben dnevni red in vsi dokumenti, ki so se uporabili ali razdelili na multiplikativnem dogodku.</w:t>
      </w:r>
    </w:p>
    <w:p w:rsidR="00B26960" w:rsidRPr="00F70C1D" w:rsidRDefault="00B26960" w:rsidP="003A408D">
      <w:pPr>
        <w:pStyle w:val="ListParagraph"/>
        <w:numPr>
          <w:ilvl w:val="0"/>
          <w:numId w:val="27"/>
        </w:numPr>
        <w:spacing w:after="240"/>
        <w:ind w:left="567" w:hanging="567"/>
        <w:jc w:val="both"/>
        <w:rPr>
          <w:rFonts w:ascii="Times New Roman" w:hAnsi="Times New Roman" w:cs="Times New Roman"/>
          <w:sz w:val="24"/>
          <w:szCs w:val="24"/>
        </w:rPr>
      </w:pPr>
      <w:r>
        <w:rPr>
          <w:rFonts w:ascii="Times New Roman" w:hAnsi="Times New Roman"/>
          <w:sz w:val="24"/>
          <w:szCs w:val="24"/>
        </w:rPr>
        <w:t>Poročanje:</w:t>
      </w:r>
    </w:p>
    <w:p w:rsidR="00B26960" w:rsidRPr="00B203B5" w:rsidRDefault="00F5227D" w:rsidP="003A408D">
      <w:pPr>
        <w:pStyle w:val="ListParagraph"/>
        <w:numPr>
          <w:ilvl w:val="0"/>
          <w:numId w:val="72"/>
        </w:numPr>
        <w:spacing w:after="240"/>
        <w:ind w:left="993" w:hanging="284"/>
        <w:jc w:val="both"/>
        <w:rPr>
          <w:rFonts w:ascii="Times New Roman" w:hAnsi="Times New Roman" w:cs="Times New Roman"/>
          <w:sz w:val="24"/>
          <w:szCs w:val="24"/>
        </w:rPr>
      </w:pPr>
      <w:r>
        <w:rPr>
          <w:rFonts w:ascii="Times New Roman" w:hAnsi="Times New Roman"/>
          <w:sz w:val="24"/>
          <w:szCs w:val="24"/>
        </w:rPr>
        <w:t>K</w:t>
      </w:r>
      <w:r w:rsidR="00B26960">
        <w:rPr>
          <w:rFonts w:ascii="Times New Roman" w:hAnsi="Times New Roman"/>
          <w:sz w:val="24"/>
          <w:szCs w:val="24"/>
        </w:rPr>
        <w:t>oordinator mora za projekt kot celoto poročati o opisu multiplikativnega dogodka, zajetih intelektualnih rezultatih, glavni in sodelujočih organizacijah, kraju srečanja ter številu lokalnih in mednarodnih udeležencev.</w:t>
      </w:r>
    </w:p>
    <w:p w:rsidR="00701E61" w:rsidRPr="003A408D" w:rsidRDefault="00B26960" w:rsidP="003A408D">
      <w:pPr>
        <w:pStyle w:val="ListParagraph"/>
        <w:numPr>
          <w:ilvl w:val="0"/>
          <w:numId w:val="72"/>
        </w:numPr>
        <w:spacing w:after="240"/>
        <w:ind w:left="993" w:hanging="284"/>
        <w:jc w:val="both"/>
        <w:rPr>
          <w:rFonts w:ascii="Times New Roman" w:hAnsi="Times New Roman" w:cs="Times New Roman"/>
        </w:rPr>
      </w:pPr>
      <w:r>
        <w:rPr>
          <w:rFonts w:ascii="Times New Roman" w:hAnsi="Times New Roman"/>
          <w:sz w:val="24"/>
          <w:szCs w:val="24"/>
        </w:rPr>
        <w:t>Če upravičenci ne razvijejo intelektualnih rezultatov, za katere so oddali vlogo nacionalni agenciji in jih je ta odobrila, tudi povezani multiplikativni dogodki ne bodo upravičeni do nepovratnih sredstev. Če je nacionalna agencija podporo dodelila za razvoj več intelektualnih rezultatov, na koncu pa jih je izvedenih le nekaj, mora nacionalna agencija določiti, do kolikšnega deleža nepovratnih sredstev je upravičen vsak od povezanih multiplikativnih dogodkov.</w:t>
      </w:r>
    </w:p>
    <w:p w:rsidR="00B26960" w:rsidRPr="00CB61E1" w:rsidRDefault="00B26960" w:rsidP="003A408D">
      <w:pPr>
        <w:pStyle w:val="ListParagraph"/>
        <w:numPr>
          <w:ilvl w:val="0"/>
          <w:numId w:val="108"/>
        </w:numPr>
        <w:spacing w:after="240"/>
        <w:ind w:left="426" w:hanging="426"/>
        <w:jc w:val="both"/>
        <w:rPr>
          <w:rFonts w:ascii="Times New Roman" w:hAnsi="Times New Roman" w:cs="Times New Roman"/>
          <w:sz w:val="24"/>
          <w:szCs w:val="24"/>
          <w:u w:val="single"/>
        </w:rPr>
      </w:pPr>
      <w:r w:rsidRPr="00CB61E1">
        <w:rPr>
          <w:rFonts w:ascii="Times New Roman" w:hAnsi="Times New Roman"/>
          <w:b/>
          <w:sz w:val="24"/>
          <w:szCs w:val="24"/>
          <w:u w:val="single"/>
        </w:rPr>
        <w:t>Aktivnosti učenja, poučevanja in usposabljanja</w:t>
      </w:r>
    </w:p>
    <w:p w:rsidR="00B26960" w:rsidRPr="0001064F" w:rsidRDefault="00B26960" w:rsidP="003A408D">
      <w:pPr>
        <w:numPr>
          <w:ilvl w:val="0"/>
          <w:numId w:val="29"/>
        </w:numPr>
        <w:spacing w:line="100" w:lineRule="atLeast"/>
        <w:ind w:left="567" w:hanging="567"/>
        <w:jc w:val="both"/>
        <w:rPr>
          <w:rFonts w:ascii="Times New Roman" w:hAnsi="Times New Roman"/>
          <w:sz w:val="24"/>
          <w:szCs w:val="24"/>
        </w:rPr>
      </w:pPr>
      <w:r>
        <w:rPr>
          <w:rFonts w:ascii="Times New Roman" w:hAnsi="Times New Roman"/>
          <w:sz w:val="24"/>
          <w:szCs w:val="24"/>
        </w:rPr>
        <w:t>Izračun zneska nepovratnih sredstev: znesek nepovratnih sredstev je v obliki prispevka na enoto za pot ter individualno in jezikovno podporo. Izračuna se, kot sledi:</w:t>
      </w:r>
    </w:p>
    <w:p w:rsidR="00B26960" w:rsidRPr="00735096" w:rsidRDefault="00B26960" w:rsidP="003A408D">
      <w:pPr>
        <w:pStyle w:val="ListParagraph"/>
        <w:numPr>
          <w:ilvl w:val="0"/>
          <w:numId w:val="114"/>
        </w:numPr>
        <w:spacing w:after="240"/>
        <w:ind w:left="993" w:hanging="273"/>
        <w:jc w:val="both"/>
        <w:rPr>
          <w:rFonts w:ascii="Times New Roman" w:eastAsia="Calibri" w:hAnsi="Times New Roman" w:cs="Times New Roman"/>
          <w:sz w:val="24"/>
          <w:szCs w:val="24"/>
        </w:rPr>
      </w:pPr>
      <w:r>
        <w:rPr>
          <w:rFonts w:ascii="Times New Roman" w:hAnsi="Times New Roman"/>
          <w:sz w:val="24"/>
          <w:szCs w:val="24"/>
        </w:rPr>
        <w:t xml:space="preserve">Pot: znesek nepovratnih sredstev se izračuna tako, da se število udeležencev pomnoži s prispevkom na enoto, ki se uporablja za razpon razdalje poti, kakor je določen v Prilogi IV k Sporazumu; </w:t>
      </w:r>
      <w:r>
        <w:t xml:space="preserve">za določitev ustreznega razpona razdalje poti morajo upravičenci uporabiti spletni kalkulator razdalje, ki je na voljo na spletnem mestu Komisije: </w:t>
      </w:r>
      <w:hyperlink r:id="rId12" w:history="1">
        <w:r>
          <w:rPr>
            <w:rStyle w:val="Hyperlink"/>
            <w:rFonts w:ascii="Times New Roman" w:hAnsi="Times New Roman"/>
            <w:sz w:val="24"/>
            <w:szCs w:val="24"/>
          </w:rPr>
          <w:t>http://ec.europa.eu/programmes/erasmus-plus/tools/distance_sl.htm</w:t>
        </w:r>
      </w:hyperlink>
      <w:r>
        <w:t>.</w:t>
      </w:r>
    </w:p>
    <w:p w:rsidR="00B26960" w:rsidRPr="001A6DB7" w:rsidRDefault="00B26960" w:rsidP="003A408D">
      <w:pPr>
        <w:numPr>
          <w:ilvl w:val="0"/>
          <w:numId w:val="114"/>
        </w:numPr>
        <w:spacing w:line="100" w:lineRule="atLeast"/>
        <w:ind w:left="993" w:hanging="273"/>
        <w:jc w:val="both"/>
        <w:rPr>
          <w:rFonts w:ascii="Times New Roman" w:hAnsi="Times New Roman"/>
          <w:sz w:val="24"/>
          <w:szCs w:val="24"/>
        </w:rPr>
      </w:pPr>
      <w:r>
        <w:rPr>
          <w:rFonts w:ascii="Times New Roman" w:hAnsi="Times New Roman"/>
          <w:sz w:val="24"/>
          <w:szCs w:val="24"/>
        </w:rPr>
        <w:lastRenderedPageBreak/>
        <w:t>Individualna podpora: znesek nepovratnih sredstev se izračuna tako, da se število dni/mesecev na udeleženca, vključno s spremljevalci za do 60 dni, pomnoži s prispevkom na enoto, ki se na dan/mesec uporablja za zadevno vrsto udeleženca in zadevno državo gostiteljico, kakor je določen v Prilogi IV k Sporazumu. V primeru nepolnih mesecev pri aktivnostih, ki trajajo več kot dva meseca, se znesek nepovratnih sredstev izračuna tako, da se število dni v nepolnem mesecu pomnoži z 1/30 prispevka na enoto na mesec. Če je potrebno, lahko upravičenec doda en dan za pot neposredno pred prvim dnem aktivnosti in en dan za pot neposredno po zadnjem dnevu aktivnosti; ti dodatni dnevi za pot se upoštevajo pri izračunu individualne podpore.</w:t>
      </w:r>
    </w:p>
    <w:p w:rsidR="00B26960" w:rsidRPr="001A6DB7" w:rsidRDefault="00B26960" w:rsidP="003A408D">
      <w:pPr>
        <w:numPr>
          <w:ilvl w:val="0"/>
          <w:numId w:val="114"/>
        </w:numPr>
        <w:spacing w:line="100" w:lineRule="atLeast"/>
        <w:ind w:left="993" w:hanging="273"/>
        <w:jc w:val="both"/>
        <w:rPr>
          <w:rFonts w:ascii="Times New Roman" w:hAnsi="Times New Roman"/>
          <w:sz w:val="24"/>
          <w:szCs w:val="24"/>
        </w:rPr>
      </w:pPr>
      <w:r>
        <w:rPr>
          <w:rFonts w:ascii="Times New Roman" w:hAnsi="Times New Roman"/>
          <w:sz w:val="24"/>
          <w:szCs w:val="24"/>
        </w:rPr>
        <w:t>Jezikovna podpora: znesek nepovratnih sredstev se izračuna tako, da se skupno število udeležencev, ki so deležni jezikovne podpore, pomnoži s prispevkom na enoto, ki se uporablja, kakor je določen v Prilogi IV k Sporazumu.</w:t>
      </w:r>
    </w:p>
    <w:p w:rsidR="00B26960" w:rsidRPr="00F70C1D" w:rsidRDefault="00B26960" w:rsidP="003A408D">
      <w:pPr>
        <w:numPr>
          <w:ilvl w:val="0"/>
          <w:numId w:val="114"/>
        </w:numPr>
        <w:ind w:left="993" w:hanging="273"/>
        <w:jc w:val="both"/>
        <w:rPr>
          <w:rFonts w:ascii="Times New Roman" w:hAnsi="Times New Roman"/>
          <w:sz w:val="24"/>
          <w:szCs w:val="24"/>
        </w:rPr>
      </w:pPr>
      <w:r>
        <w:rPr>
          <w:rFonts w:ascii="Times New Roman" w:hAnsi="Times New Roman"/>
          <w:sz w:val="24"/>
          <w:szCs w:val="24"/>
        </w:rPr>
        <w:t xml:space="preserve">Podpora udeležencem v aktivnostih učenja, poučevanja in usposabljanja, ki se izvajajo v njihovi domovini, je v okviru te proračunske kategorije upravičena, če pri aktivnostih sodelujejo udeleženci iz organizacij upravičenk iz vsaj dveh različnih držav Programa, razdalja med krajem odhoda in krajem prihoda, kakor sta določena zgoraj, pa v skladu s spletnim kalkulatorjem razpona razdalje poti znaša vsaj 10 km. </w:t>
      </w:r>
    </w:p>
    <w:p w:rsidR="00B26960" w:rsidRPr="003A408D" w:rsidRDefault="00B26960" w:rsidP="003A408D">
      <w:pPr>
        <w:numPr>
          <w:ilvl w:val="0"/>
          <w:numId w:val="114"/>
        </w:numPr>
        <w:ind w:left="993" w:hanging="273"/>
        <w:jc w:val="both"/>
        <w:rPr>
          <w:rFonts w:ascii="Times New Roman" w:hAnsi="Times New Roman"/>
          <w:sz w:val="24"/>
          <w:szCs w:val="24"/>
        </w:rPr>
      </w:pPr>
      <w:r>
        <w:rPr>
          <w:rFonts w:ascii="Times New Roman" w:hAnsi="Times New Roman"/>
          <w:sz w:val="24"/>
          <w:szCs w:val="24"/>
        </w:rPr>
        <w:t xml:space="preserve">Upravičenci morajo biti v vseh primerih sposobni dokazati obstoj formalne povezave z osebami, ki se udeležujejo mednarodnih aktivnosti učenja, poučevanja ali usposabljanja, ne glede na to, ali pri projektu sodelujejo kot osebje (poklicno ali prostovoljno) ali kot </w:t>
      </w:r>
      <w:r w:rsidRPr="00F94DA4">
        <w:rPr>
          <w:rFonts w:ascii="Times New Roman" w:hAnsi="Times New Roman"/>
          <w:sz w:val="24"/>
          <w:szCs w:val="24"/>
        </w:rPr>
        <w:t>učeči se. Vendar se takšna formalna povezava ne zahteva za mlade, ki sodelujejo v kombinirani mobilnosti, in mladinske delavce, ki sodelujejo pri kratkotrajnem usposabljanju osebja.</w:t>
      </w:r>
    </w:p>
    <w:p w:rsidR="00B26960" w:rsidRPr="003A408D" w:rsidRDefault="00B26960" w:rsidP="003A408D">
      <w:pPr>
        <w:numPr>
          <w:ilvl w:val="0"/>
          <w:numId w:val="29"/>
        </w:numPr>
        <w:spacing w:line="100" w:lineRule="atLeast"/>
        <w:ind w:left="567" w:hanging="501"/>
        <w:jc w:val="both"/>
        <w:rPr>
          <w:rFonts w:ascii="Times New Roman" w:hAnsi="Times New Roman"/>
          <w:sz w:val="24"/>
          <w:szCs w:val="24"/>
        </w:rPr>
      </w:pPr>
      <w:r>
        <w:rPr>
          <w:rFonts w:ascii="Times New Roman" w:hAnsi="Times New Roman"/>
          <w:sz w:val="24"/>
          <w:szCs w:val="24"/>
        </w:rPr>
        <w:t>Sprožilni dogodek:</w:t>
      </w:r>
    </w:p>
    <w:p w:rsidR="00B26960" w:rsidRPr="003A408D" w:rsidRDefault="00B26960" w:rsidP="003A408D">
      <w:pPr>
        <w:numPr>
          <w:ilvl w:val="0"/>
          <w:numId w:val="115"/>
        </w:numPr>
        <w:spacing w:line="100" w:lineRule="atLeast"/>
        <w:ind w:left="993" w:hanging="284"/>
        <w:jc w:val="both"/>
        <w:rPr>
          <w:rFonts w:ascii="Times New Roman" w:hAnsi="Times New Roman"/>
          <w:sz w:val="24"/>
          <w:szCs w:val="24"/>
        </w:rPr>
      </w:pPr>
      <w:r>
        <w:rPr>
          <w:rFonts w:ascii="Times New Roman" w:hAnsi="Times New Roman"/>
          <w:sz w:val="24"/>
          <w:szCs w:val="24"/>
        </w:rPr>
        <w:t>Potni stroški: dogodek, ki je pogoj za upravičenost do nepovratnih sredstev, je, da je udeleženec dejansko sodeloval pri aktivnosti.</w:t>
      </w:r>
    </w:p>
    <w:p w:rsidR="00B26960" w:rsidRPr="001A6DB7" w:rsidRDefault="00B26960" w:rsidP="003A408D">
      <w:pPr>
        <w:numPr>
          <w:ilvl w:val="0"/>
          <w:numId w:val="115"/>
        </w:numPr>
        <w:spacing w:line="100" w:lineRule="atLeast"/>
        <w:ind w:left="993" w:hanging="284"/>
        <w:jc w:val="both"/>
        <w:rPr>
          <w:rFonts w:ascii="Times New Roman" w:hAnsi="Times New Roman"/>
          <w:sz w:val="24"/>
          <w:szCs w:val="24"/>
        </w:rPr>
      </w:pPr>
      <w:r>
        <w:rPr>
          <w:rFonts w:ascii="Times New Roman" w:hAnsi="Times New Roman"/>
          <w:sz w:val="24"/>
          <w:szCs w:val="24"/>
        </w:rPr>
        <w:t>Individualna podpora: dogodek, ki je pogoj za upravičenost do nepovratnih sredstev, je, da je udeleženec dejansko sodeloval pri aktivnosti.</w:t>
      </w:r>
    </w:p>
    <w:p w:rsidR="00B26960" w:rsidRPr="001A6DB7" w:rsidRDefault="00B26960" w:rsidP="003A408D">
      <w:pPr>
        <w:numPr>
          <w:ilvl w:val="0"/>
          <w:numId w:val="115"/>
        </w:numPr>
        <w:spacing w:line="100" w:lineRule="atLeast"/>
        <w:ind w:left="993" w:hanging="284"/>
        <w:jc w:val="both"/>
        <w:rPr>
          <w:rFonts w:ascii="Times New Roman" w:hAnsi="Times New Roman"/>
          <w:sz w:val="24"/>
          <w:szCs w:val="24"/>
        </w:rPr>
      </w:pPr>
      <w:r>
        <w:rPr>
          <w:rFonts w:ascii="Times New Roman" w:hAnsi="Times New Roman"/>
          <w:sz w:val="24"/>
          <w:szCs w:val="24"/>
        </w:rPr>
        <w:t>Jezikovna podpora: sprožilni dogodek za upravičenost do nepovratnih sredstev je, da je udeleženec sodeloval pri aktivnosti, ki je trajala več kot dva meseca, in da se je zadevna oseba dejansko udeležila jezikovne priprave v jeziku poučevanja ali dela.</w:t>
      </w:r>
    </w:p>
    <w:p w:rsidR="00B26960" w:rsidRPr="001A6DB7" w:rsidRDefault="00B26960" w:rsidP="003A408D">
      <w:pPr>
        <w:numPr>
          <w:ilvl w:val="0"/>
          <w:numId w:val="29"/>
        </w:numPr>
        <w:spacing w:line="100" w:lineRule="atLeast"/>
        <w:ind w:left="567" w:hanging="567"/>
        <w:jc w:val="both"/>
        <w:rPr>
          <w:rFonts w:ascii="Times New Roman" w:hAnsi="Times New Roman"/>
          <w:sz w:val="24"/>
          <w:szCs w:val="24"/>
        </w:rPr>
      </w:pPr>
      <w:r>
        <w:rPr>
          <w:rFonts w:ascii="Times New Roman" w:hAnsi="Times New Roman"/>
          <w:sz w:val="24"/>
          <w:szCs w:val="24"/>
        </w:rPr>
        <w:t>Dokazila:</w:t>
      </w:r>
    </w:p>
    <w:p w:rsidR="00B26960" w:rsidRPr="001A6DB7" w:rsidRDefault="00B26960" w:rsidP="003A408D">
      <w:pPr>
        <w:numPr>
          <w:ilvl w:val="0"/>
          <w:numId w:val="32"/>
        </w:numPr>
        <w:spacing w:line="100" w:lineRule="atLeast"/>
        <w:ind w:left="1134" w:hanging="512"/>
        <w:jc w:val="both"/>
        <w:rPr>
          <w:rFonts w:ascii="Times New Roman" w:hAnsi="Times New Roman"/>
          <w:sz w:val="24"/>
          <w:szCs w:val="24"/>
        </w:rPr>
      </w:pPr>
      <w:r>
        <w:rPr>
          <w:rFonts w:ascii="Times New Roman" w:hAnsi="Times New Roman"/>
          <w:sz w:val="24"/>
          <w:szCs w:val="24"/>
        </w:rPr>
        <w:t>Pot</w:t>
      </w:r>
    </w:p>
    <w:p w:rsidR="00B26960" w:rsidRPr="00F70C1D" w:rsidRDefault="00B26960" w:rsidP="003A408D">
      <w:pPr>
        <w:numPr>
          <w:ilvl w:val="0"/>
          <w:numId w:val="116"/>
        </w:numPr>
        <w:tabs>
          <w:tab w:val="clear" w:pos="917"/>
          <w:tab w:val="num" w:pos="1560"/>
        </w:tabs>
        <w:spacing w:line="100" w:lineRule="atLeast"/>
        <w:ind w:left="1560" w:hanging="284"/>
        <w:jc w:val="both"/>
        <w:rPr>
          <w:rFonts w:ascii="Times New Roman" w:hAnsi="Times New Roman"/>
          <w:sz w:val="24"/>
          <w:szCs w:val="24"/>
        </w:rPr>
      </w:pPr>
      <w:r>
        <w:rPr>
          <w:rFonts w:ascii="Times New Roman" w:hAnsi="Times New Roman"/>
          <w:sz w:val="24"/>
          <w:szCs w:val="24"/>
        </w:rPr>
        <w:lastRenderedPageBreak/>
        <w:t xml:space="preserve">Za pot med organizacijo pošiljateljico in organizacijo gostiteljico: dokazilo o udeležbi v aktivnosti v obliki seznama prisotnosti ali individualnih potrdil o prisotnosti, ki jih podpiše organizacija gostiteljica in v katerih so navedeni ime udeležencev, namen aktivnosti ter njen začetni in končni datum. </w:t>
      </w:r>
    </w:p>
    <w:p w:rsidR="00B26960" w:rsidRPr="007F4828" w:rsidRDefault="00B26960" w:rsidP="003A408D">
      <w:pPr>
        <w:numPr>
          <w:ilvl w:val="0"/>
          <w:numId w:val="32"/>
        </w:numPr>
        <w:spacing w:line="100" w:lineRule="atLeast"/>
        <w:ind w:left="1134" w:hanging="567"/>
        <w:jc w:val="both"/>
        <w:rPr>
          <w:rFonts w:ascii="Times New Roman" w:hAnsi="Times New Roman"/>
          <w:sz w:val="24"/>
          <w:szCs w:val="24"/>
        </w:rPr>
      </w:pPr>
      <w:r>
        <w:rPr>
          <w:rFonts w:ascii="Times New Roman" w:hAnsi="Times New Roman"/>
          <w:sz w:val="24"/>
          <w:szCs w:val="24"/>
        </w:rPr>
        <w:t xml:space="preserve">Individualna podpora </w:t>
      </w:r>
    </w:p>
    <w:p w:rsidR="00B26960" w:rsidRPr="001A6DB7" w:rsidRDefault="00B26960" w:rsidP="003A408D">
      <w:pPr>
        <w:spacing w:line="100" w:lineRule="atLeast"/>
        <w:ind w:left="1134"/>
        <w:jc w:val="both"/>
        <w:rPr>
          <w:rFonts w:ascii="Times New Roman" w:hAnsi="Times New Roman"/>
          <w:sz w:val="24"/>
          <w:szCs w:val="24"/>
        </w:rPr>
      </w:pPr>
      <w:r>
        <w:rPr>
          <w:rFonts w:ascii="Times New Roman" w:hAnsi="Times New Roman"/>
          <w:sz w:val="24"/>
          <w:szCs w:val="24"/>
        </w:rPr>
        <w:t>Dokazilo o udeležbi v aktivnosti v obliki seznama prisotnosti ali individualnih potrdil o prisotnosti, ki jih podpiše organizacija gostiteljica in v katerih so navedeni ime udeleženca, namen aktivnosti ter njen začetni in končni datum.</w:t>
      </w:r>
    </w:p>
    <w:p w:rsidR="00B26960" w:rsidRPr="001A6DB7" w:rsidRDefault="00B26960" w:rsidP="003A408D">
      <w:pPr>
        <w:numPr>
          <w:ilvl w:val="0"/>
          <w:numId w:val="32"/>
        </w:numPr>
        <w:spacing w:line="100" w:lineRule="atLeast"/>
        <w:ind w:left="1134" w:hanging="567"/>
        <w:jc w:val="both"/>
        <w:rPr>
          <w:rFonts w:ascii="Times New Roman" w:hAnsi="Times New Roman"/>
          <w:sz w:val="24"/>
          <w:szCs w:val="24"/>
        </w:rPr>
      </w:pPr>
      <w:r>
        <w:rPr>
          <w:rFonts w:ascii="Times New Roman" w:hAnsi="Times New Roman"/>
          <w:sz w:val="24"/>
          <w:szCs w:val="24"/>
        </w:rPr>
        <w:t>Jezikovna podpora</w:t>
      </w:r>
    </w:p>
    <w:p w:rsidR="00B26960" w:rsidRPr="001A6DB7" w:rsidRDefault="00B26960" w:rsidP="003A408D">
      <w:pPr>
        <w:numPr>
          <w:ilvl w:val="0"/>
          <w:numId w:val="118"/>
        </w:numPr>
        <w:tabs>
          <w:tab w:val="left" w:pos="1560"/>
        </w:tabs>
        <w:spacing w:line="100" w:lineRule="atLeast"/>
        <w:ind w:left="1560" w:hanging="284"/>
        <w:jc w:val="both"/>
        <w:rPr>
          <w:rFonts w:ascii="Times New Roman" w:hAnsi="Times New Roman"/>
          <w:sz w:val="24"/>
          <w:szCs w:val="24"/>
        </w:rPr>
      </w:pPr>
      <w:r>
        <w:rPr>
          <w:rFonts w:ascii="Times New Roman" w:hAnsi="Times New Roman"/>
          <w:sz w:val="24"/>
          <w:szCs w:val="24"/>
        </w:rPr>
        <w:t>Dokazilo o udeležbi na tečajih v obliki izjave, ki jo podpiše izvajalec tečaja in v kateri so navedeni ime udeleženca, poučevani jezik, oblika zagotovljene jezikovne podpore in njeno trajanje, ali</w:t>
      </w:r>
    </w:p>
    <w:p w:rsidR="00B26960" w:rsidRPr="001A6DB7" w:rsidRDefault="00B26960" w:rsidP="003A408D">
      <w:pPr>
        <w:numPr>
          <w:ilvl w:val="0"/>
          <w:numId w:val="118"/>
        </w:numPr>
        <w:tabs>
          <w:tab w:val="left" w:pos="1560"/>
        </w:tabs>
        <w:spacing w:line="100" w:lineRule="atLeast"/>
        <w:ind w:left="1560" w:hanging="284"/>
        <w:jc w:val="both"/>
        <w:rPr>
          <w:rFonts w:ascii="Times New Roman" w:hAnsi="Times New Roman"/>
          <w:sz w:val="24"/>
          <w:szCs w:val="24"/>
        </w:rPr>
      </w:pPr>
      <w:r>
        <w:rPr>
          <w:rFonts w:ascii="Times New Roman" w:hAnsi="Times New Roman"/>
          <w:sz w:val="24"/>
          <w:szCs w:val="24"/>
        </w:rPr>
        <w:t>račun za nakup učnega gradiva, na katerem so navedeni zadevni jezik, ime in naslov organa, ki je izdal račun, znesek in valuta ter datum računa, ali</w:t>
      </w:r>
    </w:p>
    <w:p w:rsidR="00B26960" w:rsidRPr="00F70C1D" w:rsidRDefault="00B26960" w:rsidP="003A408D">
      <w:pPr>
        <w:numPr>
          <w:ilvl w:val="0"/>
          <w:numId w:val="118"/>
        </w:numPr>
        <w:tabs>
          <w:tab w:val="left" w:pos="1560"/>
        </w:tabs>
        <w:spacing w:line="100" w:lineRule="atLeast"/>
        <w:ind w:left="1560" w:hanging="284"/>
        <w:jc w:val="both"/>
        <w:rPr>
          <w:rFonts w:ascii="Times New Roman" w:hAnsi="Times New Roman"/>
          <w:sz w:val="24"/>
          <w:szCs w:val="24"/>
        </w:rPr>
      </w:pPr>
      <w:r>
        <w:rPr>
          <w:rFonts w:ascii="Times New Roman" w:hAnsi="Times New Roman"/>
          <w:sz w:val="24"/>
          <w:szCs w:val="24"/>
        </w:rPr>
        <w:t>če jezikovno podporo neposredno zagotavlja upravičenec: izjava, ki jo podpiše in datira udeleženec, v kateri so navedeni ime udeleženca, poučevani jezik, oblika prejete jezikovne podpore in njeno trajanje.</w:t>
      </w:r>
    </w:p>
    <w:p w:rsidR="00B26960" w:rsidRPr="00F70C1D" w:rsidRDefault="00B26960">
      <w:pPr>
        <w:pStyle w:val="ListParagraph"/>
        <w:numPr>
          <w:ilvl w:val="0"/>
          <w:numId w:val="29"/>
        </w:numPr>
        <w:tabs>
          <w:tab w:val="left" w:pos="851"/>
        </w:tabs>
        <w:spacing w:after="240"/>
        <w:jc w:val="both"/>
        <w:rPr>
          <w:rFonts w:ascii="Times New Roman" w:hAnsi="Times New Roman" w:cs="Times New Roman"/>
          <w:sz w:val="24"/>
          <w:szCs w:val="24"/>
        </w:rPr>
      </w:pPr>
      <w:r>
        <w:rPr>
          <w:rFonts w:ascii="Times New Roman" w:hAnsi="Times New Roman"/>
          <w:sz w:val="24"/>
          <w:szCs w:val="24"/>
        </w:rPr>
        <w:t>Poročanje:</w:t>
      </w:r>
    </w:p>
    <w:p w:rsidR="00B26960" w:rsidRPr="00B203B5" w:rsidRDefault="00B26960" w:rsidP="003A408D">
      <w:pPr>
        <w:pStyle w:val="ListParagraph"/>
        <w:numPr>
          <w:ilvl w:val="0"/>
          <w:numId w:val="119"/>
        </w:numPr>
        <w:tabs>
          <w:tab w:val="left" w:pos="1560"/>
        </w:tabs>
        <w:spacing w:after="240"/>
        <w:ind w:left="1560" w:hanging="284"/>
        <w:jc w:val="both"/>
        <w:rPr>
          <w:rFonts w:ascii="Times New Roman" w:hAnsi="Times New Roman" w:cs="Times New Roman"/>
          <w:sz w:val="24"/>
          <w:szCs w:val="24"/>
        </w:rPr>
      </w:pPr>
      <w:r>
        <w:rPr>
          <w:rFonts w:ascii="Times New Roman" w:hAnsi="Times New Roman"/>
          <w:sz w:val="24"/>
          <w:szCs w:val="24"/>
        </w:rPr>
        <w:t xml:space="preserve">Koordinator mora poročati o kraju vseh aktivnosti učenja, poučevanja in usposabljanja, datumu in številu udeležencev. </w:t>
      </w:r>
    </w:p>
    <w:p w:rsidR="00B26960" w:rsidRPr="00883D99" w:rsidRDefault="00B26960" w:rsidP="003A408D">
      <w:pPr>
        <w:tabs>
          <w:tab w:val="left" w:pos="851"/>
          <w:tab w:val="left" w:pos="1560"/>
        </w:tabs>
        <w:spacing w:after="0" w:line="100" w:lineRule="atLeast"/>
        <w:ind w:left="1560" w:hanging="284"/>
        <w:jc w:val="both"/>
        <w:rPr>
          <w:rFonts w:ascii="Times New Roman" w:hAnsi="Times New Roman"/>
          <w:sz w:val="24"/>
          <w:szCs w:val="24"/>
        </w:rPr>
      </w:pPr>
    </w:p>
    <w:p w:rsidR="00B26960" w:rsidRPr="00780C6B" w:rsidRDefault="00B26960">
      <w:pPr>
        <w:jc w:val="both"/>
        <w:rPr>
          <w:rFonts w:ascii="Times New Roman" w:hAnsi="Times New Roman"/>
          <w:b/>
          <w:sz w:val="24"/>
          <w:szCs w:val="24"/>
        </w:rPr>
      </w:pPr>
      <w:r>
        <w:rPr>
          <w:rFonts w:ascii="Times New Roman" w:hAnsi="Times New Roman"/>
          <w:b/>
          <w:sz w:val="24"/>
          <w:szCs w:val="24"/>
        </w:rPr>
        <w:t>II. PRAVILA, KI SE ZA PRORAČUNSKE KATEGORIJE UPORABLJAJO NA PODLAGI POVRAČILA DEJANSKO NASTALIH STROŠKOV</w:t>
      </w:r>
    </w:p>
    <w:p w:rsidR="00B26960" w:rsidRPr="00780C6B" w:rsidRDefault="00B26960" w:rsidP="00780C6B">
      <w:pPr>
        <w:tabs>
          <w:tab w:val="left" w:pos="567"/>
        </w:tabs>
        <w:jc w:val="both"/>
        <w:rPr>
          <w:rFonts w:ascii="Times New Roman" w:eastAsia="Times New Roman" w:hAnsi="Times New Roman"/>
          <w:sz w:val="24"/>
          <w:szCs w:val="24"/>
        </w:rPr>
      </w:pPr>
      <w:r>
        <w:rPr>
          <w:rFonts w:ascii="Times New Roman" w:hAnsi="Times New Roman"/>
          <w:b/>
          <w:sz w:val="24"/>
          <w:szCs w:val="24"/>
        </w:rPr>
        <w:t xml:space="preserve">II.1 </w:t>
      </w:r>
      <w:r>
        <w:rPr>
          <w:rFonts w:ascii="Times New Roman" w:hAnsi="Times New Roman"/>
          <w:b/>
          <w:sz w:val="24"/>
          <w:szCs w:val="24"/>
        </w:rPr>
        <w:tab/>
        <w:t>Pogoji za povračilo dejanskih stroškov</w:t>
      </w:r>
    </w:p>
    <w:p w:rsidR="00B26960" w:rsidRPr="00780C6B" w:rsidRDefault="00B26960" w:rsidP="00780C6B">
      <w:pPr>
        <w:spacing w:after="0" w:line="100" w:lineRule="atLeast"/>
        <w:ind w:left="567"/>
        <w:jc w:val="both"/>
        <w:rPr>
          <w:rFonts w:ascii="Times New Roman" w:hAnsi="Times New Roman"/>
          <w:sz w:val="24"/>
          <w:szCs w:val="24"/>
        </w:rPr>
      </w:pPr>
      <w:r>
        <w:rPr>
          <w:rFonts w:ascii="Times New Roman" w:hAnsi="Times New Roman"/>
          <w:sz w:val="24"/>
          <w:szCs w:val="24"/>
        </w:rPr>
        <w:t>Kadar so nepovratna sredstva v obliki povračila dejanskih stroškov, morajo veljati naslednji pogoji:</w:t>
      </w:r>
    </w:p>
    <w:p w:rsidR="00B26960" w:rsidRPr="00780C6B" w:rsidRDefault="00B26960">
      <w:pPr>
        <w:spacing w:after="0" w:line="100" w:lineRule="atLeast"/>
        <w:jc w:val="both"/>
        <w:rPr>
          <w:rFonts w:ascii="Times New Roman" w:hAnsi="Times New Roman"/>
          <w:sz w:val="24"/>
          <w:szCs w:val="24"/>
          <w:lang w:val="en-US"/>
        </w:rPr>
      </w:pPr>
    </w:p>
    <w:p w:rsidR="00B26960" w:rsidRPr="00883D99" w:rsidRDefault="00B26960">
      <w:pPr>
        <w:numPr>
          <w:ilvl w:val="0"/>
          <w:numId w:val="40"/>
        </w:numPr>
        <w:spacing w:after="0" w:line="100" w:lineRule="atLeast"/>
        <w:ind w:left="1134" w:hanging="567"/>
        <w:jc w:val="both"/>
        <w:rPr>
          <w:rFonts w:ascii="Times New Roman" w:hAnsi="Times New Roman"/>
          <w:sz w:val="24"/>
          <w:szCs w:val="24"/>
        </w:rPr>
      </w:pPr>
      <w:r>
        <w:rPr>
          <w:rFonts w:ascii="Times New Roman" w:hAnsi="Times New Roman"/>
          <w:sz w:val="24"/>
          <w:szCs w:val="24"/>
        </w:rPr>
        <w:t>so stroški, ki so jih imeli upravičenci;</w:t>
      </w:r>
    </w:p>
    <w:p w:rsidR="00B26960" w:rsidRPr="00883D99" w:rsidRDefault="00B26960">
      <w:pPr>
        <w:spacing w:after="0" w:line="100" w:lineRule="atLeast"/>
        <w:ind w:left="567"/>
        <w:jc w:val="both"/>
        <w:rPr>
          <w:rFonts w:ascii="Times New Roman" w:hAnsi="Times New Roman"/>
          <w:sz w:val="24"/>
          <w:szCs w:val="24"/>
        </w:rPr>
      </w:pPr>
    </w:p>
    <w:p w:rsidR="00B26960" w:rsidRPr="00224CA0" w:rsidRDefault="00B26960">
      <w:pPr>
        <w:numPr>
          <w:ilvl w:val="0"/>
          <w:numId w:val="40"/>
        </w:numPr>
        <w:spacing w:after="0" w:line="100" w:lineRule="atLeast"/>
        <w:ind w:left="1134" w:hanging="567"/>
        <w:jc w:val="both"/>
        <w:rPr>
          <w:rFonts w:ascii="Times New Roman" w:hAnsi="Times New Roman"/>
          <w:sz w:val="24"/>
          <w:szCs w:val="24"/>
        </w:rPr>
      </w:pPr>
      <w:r>
        <w:rPr>
          <w:rFonts w:ascii="Times New Roman" w:hAnsi="Times New Roman"/>
          <w:sz w:val="24"/>
          <w:szCs w:val="24"/>
        </w:rPr>
        <w:t>nastali so v obdobju iz člena I.2.2;</w:t>
      </w:r>
    </w:p>
    <w:p w:rsidR="00B26960" w:rsidRPr="007F4828" w:rsidRDefault="00B26960">
      <w:pPr>
        <w:tabs>
          <w:tab w:val="left" w:pos="567"/>
        </w:tabs>
        <w:spacing w:after="0" w:line="100" w:lineRule="atLeast"/>
        <w:ind w:left="1134" w:hanging="567"/>
        <w:jc w:val="both"/>
        <w:rPr>
          <w:rFonts w:ascii="Times New Roman" w:hAnsi="Times New Roman"/>
          <w:sz w:val="24"/>
          <w:szCs w:val="24"/>
          <w:lang w:val="en-US"/>
        </w:rPr>
      </w:pPr>
    </w:p>
    <w:p w:rsidR="00B26960" w:rsidRPr="00994B87"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Pr>
          <w:rFonts w:ascii="Times New Roman" w:hAnsi="Times New Roman"/>
          <w:sz w:val="24"/>
          <w:szCs w:val="24"/>
        </w:rPr>
        <w:t>navedeni so v oceni proračuna iz Priloge II ali so upravičeni zaradi proračunskih prerazporeditev v skladu s členom I.3.3;</w:t>
      </w:r>
    </w:p>
    <w:p w:rsidR="00B26960" w:rsidRPr="00994B87" w:rsidRDefault="00B26960">
      <w:pPr>
        <w:spacing w:after="0" w:line="100" w:lineRule="atLeast"/>
        <w:ind w:left="567"/>
        <w:jc w:val="both"/>
        <w:rPr>
          <w:rFonts w:ascii="Times New Roman" w:eastAsia="Times New Roman" w:hAnsi="Times New Roman"/>
          <w:sz w:val="24"/>
          <w:szCs w:val="24"/>
        </w:rPr>
      </w:pPr>
    </w:p>
    <w:p w:rsidR="00B26960" w:rsidRPr="00994B87"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Pr>
          <w:rFonts w:ascii="Times New Roman" w:hAnsi="Times New Roman"/>
          <w:sz w:val="24"/>
          <w:szCs w:val="24"/>
        </w:rPr>
        <w:t>nastanejo v zvezi s projektom, kot je opisano v Prilogi II, in so potrebni za njegovo izvajanje;</w:t>
      </w:r>
    </w:p>
    <w:p w:rsidR="00B26960" w:rsidRPr="001F5BC9" w:rsidRDefault="00B26960">
      <w:pPr>
        <w:spacing w:after="0" w:line="100" w:lineRule="atLeast"/>
        <w:ind w:left="567"/>
        <w:jc w:val="both"/>
        <w:rPr>
          <w:rFonts w:ascii="Times New Roman" w:eastAsia="Times New Roman" w:hAnsi="Times New Roman"/>
          <w:sz w:val="24"/>
          <w:szCs w:val="24"/>
        </w:rPr>
      </w:pPr>
    </w:p>
    <w:p w:rsidR="00B26960" w:rsidRPr="001A6DB7"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Pr>
          <w:rFonts w:ascii="Times New Roman" w:hAnsi="Times New Roman"/>
          <w:sz w:val="24"/>
          <w:szCs w:val="24"/>
        </w:rPr>
        <w:t xml:space="preserve">so določljivi in preverljivi ter zlasti evidentirani v računovodskih izkazih upravičenca in določeni v skladu z računovodskimi standardi, ki se uporabljajo v državi, kjer ima upravičenec sedež, in v skladu z njegovo običajno prakso stroškovnega računovodstva;  </w:t>
      </w:r>
    </w:p>
    <w:p w:rsidR="00B26960" w:rsidRPr="001A6DB7" w:rsidRDefault="00B26960">
      <w:pPr>
        <w:spacing w:after="0" w:line="100" w:lineRule="atLeast"/>
        <w:ind w:left="567"/>
        <w:jc w:val="both"/>
        <w:rPr>
          <w:rFonts w:ascii="Times New Roman" w:eastAsia="Times New Roman" w:hAnsi="Times New Roman"/>
          <w:sz w:val="24"/>
          <w:szCs w:val="24"/>
        </w:rPr>
      </w:pPr>
    </w:p>
    <w:p w:rsidR="00B26960" w:rsidRPr="001A6DB7"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Pr>
          <w:rFonts w:ascii="Times New Roman" w:hAnsi="Times New Roman"/>
          <w:sz w:val="24"/>
          <w:szCs w:val="24"/>
        </w:rPr>
        <w:t xml:space="preserve">ustrezajo zahtevam davčne in socialne zakonodaje, ki se uporablja; </w:t>
      </w:r>
    </w:p>
    <w:p w:rsidR="00B26960" w:rsidRPr="001A6DB7" w:rsidRDefault="00B26960">
      <w:pPr>
        <w:spacing w:after="0" w:line="100" w:lineRule="atLeast"/>
        <w:ind w:left="567"/>
        <w:jc w:val="both"/>
        <w:rPr>
          <w:rFonts w:ascii="Times New Roman" w:eastAsia="Times New Roman" w:hAnsi="Times New Roman"/>
          <w:sz w:val="24"/>
          <w:szCs w:val="24"/>
        </w:rPr>
      </w:pPr>
    </w:p>
    <w:p w:rsidR="00B26960" w:rsidRPr="00F70C1D"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Pr>
          <w:rFonts w:ascii="Times New Roman" w:hAnsi="Times New Roman"/>
          <w:sz w:val="24"/>
          <w:szCs w:val="24"/>
        </w:rPr>
        <w:t>so smotrni, utemeljeni in v skladu z načeli dobrega finančnega poslovodenja, zlasti glede gospodarnosti in učinkovitosti;</w:t>
      </w:r>
    </w:p>
    <w:p w:rsidR="00B26960" w:rsidRPr="00F70C1D" w:rsidRDefault="00B26960">
      <w:pPr>
        <w:spacing w:after="0" w:line="100" w:lineRule="atLeast"/>
        <w:ind w:left="567"/>
        <w:jc w:val="both"/>
        <w:rPr>
          <w:rFonts w:ascii="Times New Roman" w:eastAsia="Times New Roman" w:hAnsi="Times New Roman"/>
          <w:sz w:val="24"/>
          <w:szCs w:val="24"/>
        </w:rPr>
      </w:pPr>
    </w:p>
    <w:p w:rsidR="00B26960" w:rsidRPr="00F70C1D"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Pr>
          <w:rFonts w:ascii="Times New Roman" w:hAnsi="Times New Roman"/>
          <w:sz w:val="24"/>
        </w:rPr>
        <w:t>niso kriti v obliki prispevka na enoto, kakor je določen v oddelku I te priloge.</w:t>
      </w:r>
    </w:p>
    <w:p w:rsidR="00B26960" w:rsidRPr="00F70C1D" w:rsidRDefault="00B26960">
      <w:pPr>
        <w:spacing w:after="0" w:line="100" w:lineRule="atLeast"/>
        <w:jc w:val="both"/>
        <w:rPr>
          <w:rFonts w:ascii="Times New Roman" w:eastAsia="Times New Roman" w:hAnsi="Times New Roman"/>
          <w:sz w:val="24"/>
          <w:szCs w:val="24"/>
        </w:rPr>
      </w:pPr>
    </w:p>
    <w:p w:rsidR="00B26960" w:rsidRPr="00B203B5" w:rsidRDefault="00B26960" w:rsidP="00780C6B">
      <w:pPr>
        <w:tabs>
          <w:tab w:val="left" w:pos="567"/>
        </w:tabs>
        <w:jc w:val="both"/>
        <w:rPr>
          <w:rFonts w:ascii="Times New Roman" w:eastAsia="Times New Roman" w:hAnsi="Times New Roman"/>
          <w:sz w:val="24"/>
          <w:szCs w:val="24"/>
        </w:rPr>
      </w:pPr>
      <w:r>
        <w:rPr>
          <w:rFonts w:ascii="Times New Roman" w:hAnsi="Times New Roman"/>
          <w:b/>
          <w:sz w:val="24"/>
          <w:szCs w:val="24"/>
        </w:rPr>
        <w:t xml:space="preserve">II.2 </w:t>
      </w:r>
      <w:r>
        <w:rPr>
          <w:rFonts w:ascii="Times New Roman" w:hAnsi="Times New Roman"/>
          <w:b/>
          <w:sz w:val="24"/>
          <w:szCs w:val="24"/>
        </w:rPr>
        <w:tab/>
        <w:t>Izračun dejanskih stroškov</w:t>
      </w:r>
    </w:p>
    <w:p w:rsidR="00B26960" w:rsidRPr="00CB61E1" w:rsidRDefault="00B26960" w:rsidP="002250FC">
      <w:pPr>
        <w:numPr>
          <w:ilvl w:val="0"/>
          <w:numId w:val="51"/>
        </w:numPr>
        <w:tabs>
          <w:tab w:val="left" w:pos="567"/>
        </w:tabs>
        <w:spacing w:after="0" w:line="100" w:lineRule="atLeast"/>
        <w:ind w:left="0" w:firstLine="66"/>
        <w:jc w:val="both"/>
        <w:rPr>
          <w:rFonts w:ascii="Times New Roman" w:hAnsi="Times New Roman"/>
          <w:b/>
          <w:sz w:val="24"/>
          <w:szCs w:val="24"/>
        </w:rPr>
      </w:pPr>
      <w:r w:rsidRPr="00CB61E1">
        <w:rPr>
          <w:rFonts w:ascii="Times New Roman" w:hAnsi="Times New Roman"/>
          <w:b/>
          <w:sz w:val="24"/>
          <w:szCs w:val="24"/>
          <w:u w:val="single"/>
        </w:rPr>
        <w:t>Podpora za posebne potrebe</w:t>
      </w:r>
    </w:p>
    <w:p w:rsidR="00B26960" w:rsidRPr="003A408D" w:rsidRDefault="00B26960">
      <w:pPr>
        <w:spacing w:after="0" w:line="100" w:lineRule="atLeast"/>
        <w:jc w:val="both"/>
        <w:rPr>
          <w:rFonts w:ascii="Times New Roman" w:hAnsi="Times New Roman"/>
          <w:sz w:val="24"/>
          <w:szCs w:val="24"/>
          <w:lang w:val="en-US"/>
        </w:rPr>
      </w:pPr>
    </w:p>
    <w:p w:rsidR="00B26960" w:rsidRPr="003A408D" w:rsidRDefault="00B26960" w:rsidP="002250FC">
      <w:pPr>
        <w:numPr>
          <w:ilvl w:val="0"/>
          <w:numId w:val="52"/>
        </w:numPr>
        <w:spacing w:line="100" w:lineRule="atLeast"/>
        <w:ind w:left="567" w:hanging="501"/>
        <w:jc w:val="both"/>
        <w:rPr>
          <w:rFonts w:ascii="Times New Roman" w:hAnsi="Times New Roman"/>
          <w:sz w:val="24"/>
          <w:szCs w:val="24"/>
        </w:rPr>
      </w:pPr>
      <w:r>
        <w:rPr>
          <w:rFonts w:ascii="Times New Roman" w:hAnsi="Times New Roman"/>
          <w:sz w:val="24"/>
          <w:szCs w:val="24"/>
        </w:rPr>
        <w:t xml:space="preserve">Izračun zneska nepovratnih sredstev: nepovratna sredstva so povračilo 100 % upravičenih stroškov, ki so dejansko nastali. </w:t>
      </w:r>
    </w:p>
    <w:p w:rsidR="00B26960" w:rsidRPr="00780C6B" w:rsidRDefault="00B26960" w:rsidP="002250FC">
      <w:pPr>
        <w:numPr>
          <w:ilvl w:val="0"/>
          <w:numId w:val="52"/>
        </w:numPr>
        <w:spacing w:line="100" w:lineRule="atLeast"/>
        <w:ind w:left="567" w:hanging="501"/>
        <w:jc w:val="both"/>
        <w:rPr>
          <w:rFonts w:ascii="Times New Roman" w:hAnsi="Times New Roman"/>
          <w:sz w:val="24"/>
          <w:szCs w:val="24"/>
        </w:rPr>
      </w:pPr>
      <w:r>
        <w:rPr>
          <w:rFonts w:ascii="Times New Roman" w:hAnsi="Times New Roman"/>
          <w:sz w:val="24"/>
          <w:szCs w:val="24"/>
        </w:rPr>
        <w:t>Upravičeni stroški: stroški, ki so neposredno povezani z udeleženci s posebnimi potrebami in spremljevalci, vključno s stroški za bivanje spremljevalcev po 60. dnevu bivanja, in so dodatni glede na stroške, podprte s prispevkom na enoto, kakor je določen v oddelku I te priloge.</w:t>
      </w:r>
    </w:p>
    <w:p w:rsidR="00B26960" w:rsidRPr="009C0C82" w:rsidRDefault="00B26960" w:rsidP="002250FC">
      <w:pPr>
        <w:numPr>
          <w:ilvl w:val="0"/>
          <w:numId w:val="52"/>
        </w:numPr>
        <w:spacing w:line="100" w:lineRule="atLeast"/>
        <w:ind w:left="567" w:hanging="501"/>
        <w:jc w:val="both"/>
        <w:rPr>
          <w:rFonts w:ascii="Times New Roman" w:hAnsi="Times New Roman"/>
          <w:sz w:val="24"/>
          <w:szCs w:val="24"/>
          <w:u w:val="single"/>
          <w:shd w:val="clear" w:color="auto" w:fill="FFFF00"/>
        </w:rPr>
      </w:pPr>
      <w:r>
        <w:rPr>
          <w:rFonts w:ascii="Times New Roman" w:hAnsi="Times New Roman"/>
          <w:sz w:val="24"/>
          <w:szCs w:val="24"/>
        </w:rPr>
        <w:t>Dokazila: računi za dejansko nastale stroške, na katerih so navedeni ime in naslov organa, ki je izdal račun, znesek in valuta ter datum računa.</w:t>
      </w:r>
    </w:p>
    <w:p w:rsidR="00B26960" w:rsidRPr="00CB61E1" w:rsidRDefault="00B26960" w:rsidP="002250FC">
      <w:pPr>
        <w:numPr>
          <w:ilvl w:val="0"/>
          <w:numId w:val="51"/>
        </w:numPr>
        <w:tabs>
          <w:tab w:val="left" w:pos="567"/>
        </w:tabs>
        <w:spacing w:after="0" w:line="100" w:lineRule="atLeast"/>
        <w:ind w:left="0" w:firstLine="0"/>
        <w:jc w:val="both"/>
        <w:rPr>
          <w:rFonts w:ascii="Times New Roman" w:hAnsi="Times New Roman"/>
          <w:b/>
          <w:sz w:val="24"/>
          <w:szCs w:val="24"/>
          <w:u w:val="single"/>
        </w:rPr>
      </w:pPr>
      <w:r w:rsidRPr="00CB61E1">
        <w:rPr>
          <w:rFonts w:ascii="Times New Roman" w:hAnsi="Times New Roman"/>
          <w:b/>
          <w:sz w:val="24"/>
          <w:szCs w:val="24"/>
          <w:u w:val="single"/>
        </w:rPr>
        <w:t>Izredni stroški</w:t>
      </w:r>
    </w:p>
    <w:p w:rsidR="00B26960" w:rsidRPr="00780C6B" w:rsidRDefault="00B26960">
      <w:pPr>
        <w:spacing w:after="0" w:line="100" w:lineRule="atLeast"/>
        <w:jc w:val="both"/>
        <w:rPr>
          <w:rFonts w:ascii="Times New Roman" w:hAnsi="Times New Roman"/>
          <w:sz w:val="24"/>
          <w:szCs w:val="24"/>
          <w:u w:val="single"/>
          <w:lang w:val="en-US"/>
        </w:rPr>
      </w:pPr>
    </w:p>
    <w:p w:rsidR="003C7861" w:rsidRDefault="00B26960" w:rsidP="00E7257E">
      <w:pPr>
        <w:numPr>
          <w:ilvl w:val="0"/>
          <w:numId w:val="53"/>
        </w:numPr>
        <w:spacing w:line="100" w:lineRule="atLeast"/>
        <w:ind w:left="567" w:hanging="567"/>
        <w:jc w:val="both"/>
        <w:rPr>
          <w:rFonts w:ascii="Times New Roman" w:hAnsi="Times New Roman"/>
          <w:sz w:val="24"/>
          <w:szCs w:val="24"/>
        </w:rPr>
      </w:pPr>
      <w:r>
        <w:rPr>
          <w:rFonts w:ascii="Times New Roman" w:hAnsi="Times New Roman"/>
          <w:sz w:val="24"/>
          <w:szCs w:val="24"/>
        </w:rPr>
        <w:t>Izračun zneska nepovratnih sredstev: nepovratna sredstva so povračilo:</w:t>
      </w:r>
    </w:p>
    <w:p w:rsidR="00D27798" w:rsidRDefault="003C7861" w:rsidP="009C0C82">
      <w:pPr>
        <w:spacing w:line="100" w:lineRule="atLeast"/>
        <w:ind w:left="567"/>
        <w:jc w:val="both"/>
        <w:rPr>
          <w:rFonts w:ascii="Times New Roman" w:hAnsi="Times New Roman"/>
          <w:sz w:val="24"/>
          <w:szCs w:val="24"/>
        </w:rPr>
      </w:pPr>
      <w:r>
        <w:rPr>
          <w:rFonts w:ascii="Times New Roman" w:hAnsi="Times New Roman"/>
          <w:sz w:val="24"/>
          <w:szCs w:val="24"/>
        </w:rPr>
        <w:t>– 75 % upravičenih stroškov, ki so dejansko nastali zaradi oddaje naročil podizvajalcem, nakupa blaga ali finančnega jamstva,</w:t>
      </w:r>
    </w:p>
    <w:p w:rsidR="00D27798" w:rsidRDefault="003C7861" w:rsidP="00D27798">
      <w:pPr>
        <w:spacing w:line="100" w:lineRule="atLeast"/>
        <w:ind w:left="567"/>
        <w:jc w:val="both"/>
        <w:rPr>
          <w:rFonts w:ascii="Times New Roman" w:hAnsi="Times New Roman"/>
          <w:sz w:val="24"/>
          <w:szCs w:val="24"/>
        </w:rPr>
      </w:pPr>
      <w:r>
        <w:rPr>
          <w:rFonts w:ascii="Times New Roman" w:hAnsi="Times New Roman"/>
          <w:sz w:val="24"/>
          <w:szCs w:val="24"/>
        </w:rPr>
        <w:t xml:space="preserve">– in 80 % upravičenih stroškov dragega potovanja, </w:t>
      </w:r>
    </w:p>
    <w:p w:rsidR="00D27798" w:rsidRDefault="00D27798" w:rsidP="00D27798">
      <w:pPr>
        <w:spacing w:line="100" w:lineRule="atLeast"/>
        <w:ind w:left="567"/>
        <w:jc w:val="both"/>
        <w:rPr>
          <w:rFonts w:ascii="Times New Roman" w:hAnsi="Times New Roman"/>
          <w:sz w:val="24"/>
          <w:szCs w:val="24"/>
        </w:rPr>
      </w:pPr>
      <w:r>
        <w:rPr>
          <w:rFonts w:ascii="Times New Roman" w:hAnsi="Times New Roman"/>
          <w:sz w:val="24"/>
          <w:szCs w:val="24"/>
        </w:rPr>
        <w:t>pri čemer je najvišji možni znesek 50 000 EUR na projekt brez stroškov finančnega jamstva, če se tako zahteva v Sporazumu.</w:t>
      </w:r>
    </w:p>
    <w:p w:rsidR="00B26960" w:rsidRPr="00780C6B" w:rsidRDefault="00B26960" w:rsidP="00E7257E">
      <w:pPr>
        <w:numPr>
          <w:ilvl w:val="0"/>
          <w:numId w:val="53"/>
        </w:numPr>
        <w:spacing w:line="100" w:lineRule="atLeast"/>
        <w:ind w:left="567" w:hanging="567"/>
        <w:jc w:val="both"/>
        <w:rPr>
          <w:rFonts w:ascii="Times New Roman" w:hAnsi="Times New Roman"/>
          <w:sz w:val="24"/>
          <w:szCs w:val="24"/>
        </w:rPr>
      </w:pPr>
      <w:r>
        <w:rPr>
          <w:rFonts w:ascii="Times New Roman" w:hAnsi="Times New Roman"/>
          <w:sz w:val="24"/>
          <w:szCs w:val="24"/>
        </w:rPr>
        <w:t xml:space="preserve">Upravičeni stroški: </w:t>
      </w:r>
    </w:p>
    <w:p w:rsidR="00B26960" w:rsidRPr="00780C6B" w:rsidRDefault="00B26960" w:rsidP="009C0C82">
      <w:pPr>
        <w:numPr>
          <w:ilvl w:val="0"/>
          <w:numId w:val="170"/>
        </w:numPr>
        <w:spacing w:line="100" w:lineRule="atLeast"/>
        <w:jc w:val="both"/>
        <w:rPr>
          <w:rFonts w:ascii="Times New Roman" w:hAnsi="Times New Roman"/>
          <w:sz w:val="24"/>
          <w:szCs w:val="24"/>
        </w:rPr>
      </w:pPr>
      <w:r>
        <w:rPr>
          <w:rFonts w:ascii="Times New Roman" w:hAnsi="Times New Roman"/>
          <w:sz w:val="24"/>
          <w:szCs w:val="24"/>
        </w:rPr>
        <w:t>oddaja naročil podizvajalcem: oddaja naročil podizvajalcem ter nakup blaga in storitev, če upravičenec odda vlogo za to in jo nacionalna agencija odobri, kakor je določeno v Prilogi II;</w:t>
      </w:r>
    </w:p>
    <w:p w:rsidR="00B26960" w:rsidRPr="00780C6B" w:rsidRDefault="00B26960" w:rsidP="009C0C82">
      <w:pPr>
        <w:numPr>
          <w:ilvl w:val="0"/>
          <w:numId w:val="170"/>
        </w:numPr>
        <w:spacing w:line="100" w:lineRule="atLeast"/>
        <w:jc w:val="both"/>
        <w:rPr>
          <w:rFonts w:ascii="Times New Roman" w:hAnsi="Times New Roman"/>
          <w:sz w:val="24"/>
          <w:szCs w:val="24"/>
        </w:rPr>
      </w:pPr>
      <w:r>
        <w:rPr>
          <w:rFonts w:ascii="Times New Roman" w:hAnsi="Times New Roman"/>
          <w:sz w:val="24"/>
          <w:szCs w:val="24"/>
        </w:rPr>
        <w:lastRenderedPageBreak/>
        <w:t>finančno jamstvo: stroški, povezani z jamstvom za predhodno financiranje, ki ga predloži upravičenec, kadar tako jamstvo zahteva nacionalna agencija, kakor je določeno v členu I.4.2 Sporazuma;</w:t>
      </w:r>
    </w:p>
    <w:p w:rsidR="00B26960" w:rsidRPr="00780C6B" w:rsidRDefault="00B26960" w:rsidP="009C0C82">
      <w:pPr>
        <w:numPr>
          <w:ilvl w:val="0"/>
          <w:numId w:val="170"/>
        </w:numPr>
        <w:spacing w:line="100" w:lineRule="atLeast"/>
        <w:jc w:val="both"/>
        <w:rPr>
          <w:rFonts w:ascii="Times New Roman" w:hAnsi="Times New Roman"/>
          <w:sz w:val="24"/>
          <w:szCs w:val="24"/>
        </w:rPr>
      </w:pPr>
      <w:r>
        <w:rPr>
          <w:rFonts w:ascii="Times New Roman" w:hAnsi="Times New Roman"/>
          <w:sz w:val="24"/>
          <w:szCs w:val="24"/>
        </w:rPr>
        <w:t xml:space="preserve">stroški najvarčnejšega, a tudi najučinkovitejšega načina potovanja, za upravičene udeležence, za katere običajno pravilo financiranja ne krije vsaj 70 % upravičenih stroškov. Izredni stroški za drago potovanje nadomeščajo običajna nepovratna sredstva za potne stroške; </w:t>
      </w:r>
    </w:p>
    <w:p w:rsidR="00B26960" w:rsidRPr="00780C6B" w:rsidRDefault="00B26960" w:rsidP="009C0C82">
      <w:pPr>
        <w:numPr>
          <w:ilvl w:val="0"/>
          <w:numId w:val="170"/>
        </w:numPr>
        <w:spacing w:after="240"/>
        <w:jc w:val="both"/>
        <w:rPr>
          <w:rFonts w:ascii="Times New Roman" w:hAnsi="Times New Roman"/>
          <w:sz w:val="24"/>
          <w:szCs w:val="24"/>
        </w:rPr>
      </w:pPr>
      <w:r>
        <w:rPr>
          <w:rFonts w:ascii="Times New Roman" w:hAnsi="Times New Roman"/>
          <w:sz w:val="24"/>
          <w:szCs w:val="24"/>
        </w:rPr>
        <w:t>stroški, povezani s stroški amortizacije opreme ali drugih sredstev (novih ali rabljenih), kot so knjiženi v računovodskih izkazih upravičenca, če so bila sredstva nabavljena v skladu s členom II.10 ter odpisana v skladu z mednarodnimi računovodskimi standardi in običajnimi računovodskimi praksami upravičenca. Stroški najema ali zakupa opreme ali drugih sredstev so prav tako upravičeni, če ne presegajo stroškov amortizacije podobne opreme ali sredstev ter ne vključujejo stroškov financiranja. V primeru nakupa, najema ali zakupa opreme se lahko zahteva le znesek, ki ustreza času uporabe opreme za projekt.</w:t>
      </w:r>
    </w:p>
    <w:p w:rsidR="00B26960" w:rsidRPr="00780C6B" w:rsidRDefault="00B26960" w:rsidP="00E7257E">
      <w:pPr>
        <w:numPr>
          <w:ilvl w:val="0"/>
          <w:numId w:val="53"/>
        </w:numPr>
        <w:spacing w:line="100" w:lineRule="atLeast"/>
        <w:ind w:left="567" w:hanging="567"/>
        <w:jc w:val="both"/>
        <w:rPr>
          <w:rFonts w:ascii="Times New Roman" w:hAnsi="Times New Roman"/>
          <w:sz w:val="24"/>
          <w:szCs w:val="24"/>
        </w:rPr>
      </w:pPr>
      <w:r>
        <w:rPr>
          <w:rFonts w:ascii="Times New Roman" w:hAnsi="Times New Roman"/>
          <w:sz w:val="24"/>
          <w:szCs w:val="24"/>
        </w:rPr>
        <w:t xml:space="preserve">Dokazila: </w:t>
      </w:r>
    </w:p>
    <w:p w:rsidR="00B26960" w:rsidRPr="00780C6B" w:rsidRDefault="00B26960" w:rsidP="009C0C82">
      <w:pPr>
        <w:numPr>
          <w:ilvl w:val="0"/>
          <w:numId w:val="171"/>
        </w:numPr>
        <w:spacing w:line="100" w:lineRule="atLeast"/>
        <w:jc w:val="both"/>
        <w:rPr>
          <w:rFonts w:ascii="Times New Roman" w:hAnsi="Times New Roman"/>
          <w:sz w:val="24"/>
          <w:szCs w:val="24"/>
        </w:rPr>
      </w:pPr>
      <w:r>
        <w:rPr>
          <w:rFonts w:ascii="Times New Roman" w:hAnsi="Times New Roman"/>
          <w:sz w:val="24"/>
          <w:szCs w:val="24"/>
        </w:rPr>
        <w:t>oddaja naročil podizvajalcem: dokazilo o plačilu nastalih stroškov na podlagi računov, na katerih so navedeni ime in naslov organa, ki je izdal račun, znesek in valuta ter datum računa;</w:t>
      </w:r>
    </w:p>
    <w:p w:rsidR="00B26960" w:rsidRPr="00780C6B" w:rsidRDefault="00B26960" w:rsidP="009C0C82">
      <w:pPr>
        <w:numPr>
          <w:ilvl w:val="0"/>
          <w:numId w:val="171"/>
        </w:numPr>
        <w:spacing w:line="100" w:lineRule="atLeast"/>
        <w:jc w:val="both"/>
        <w:rPr>
          <w:rFonts w:ascii="Times New Roman" w:hAnsi="Times New Roman"/>
          <w:sz w:val="24"/>
          <w:szCs w:val="24"/>
        </w:rPr>
      </w:pPr>
      <w:r>
        <w:rPr>
          <w:rFonts w:ascii="Times New Roman" w:hAnsi="Times New Roman"/>
          <w:sz w:val="24"/>
          <w:szCs w:val="24"/>
        </w:rPr>
        <w:t>finančno jamstvo: dokazilo o stroških finančnega jamstva, ki ga izda organ, ki je upravičencu zagotovil jamstvo, in v katerem so navedeni ime in naslov organa, ki je izdal finančno jamstvo, znesek in valuta stroškov jamstva ter datum in podpis zakonitega zastopnika organa, ki je izdal jamstvo;</w:t>
      </w:r>
    </w:p>
    <w:p w:rsidR="00B26960" w:rsidRPr="00780C6B" w:rsidRDefault="00B26960" w:rsidP="009C0C82">
      <w:pPr>
        <w:numPr>
          <w:ilvl w:val="0"/>
          <w:numId w:val="171"/>
        </w:numPr>
        <w:spacing w:line="100" w:lineRule="atLeast"/>
        <w:jc w:val="both"/>
        <w:rPr>
          <w:rFonts w:ascii="Times New Roman" w:hAnsi="Times New Roman"/>
          <w:sz w:val="24"/>
          <w:szCs w:val="24"/>
        </w:rPr>
      </w:pPr>
      <w:r>
        <w:rPr>
          <w:rFonts w:ascii="Times New Roman" w:hAnsi="Times New Roman"/>
          <w:sz w:val="24"/>
          <w:szCs w:val="24"/>
        </w:rPr>
        <w:t>stroški amortizacije: dokazilo o nakupu, najemu ali zakupu opreme, kot je knjiženo v računovodskih izkazih upravičenca, s katerim je dokazano, da so ti stroški nastali v obdobju iz člena I.2.2 in da se lahko upošteva delež dejanske uporabe za namene projekta;</w:t>
      </w:r>
    </w:p>
    <w:p w:rsidR="00B26960" w:rsidRDefault="00B26960" w:rsidP="009C0C82">
      <w:pPr>
        <w:numPr>
          <w:ilvl w:val="0"/>
          <w:numId w:val="171"/>
        </w:numPr>
        <w:spacing w:line="100" w:lineRule="atLeast"/>
        <w:jc w:val="both"/>
        <w:rPr>
          <w:rFonts w:ascii="Times New Roman" w:hAnsi="Times New Roman"/>
          <w:sz w:val="24"/>
          <w:szCs w:val="24"/>
        </w:rPr>
      </w:pPr>
      <w:r>
        <w:rPr>
          <w:rFonts w:ascii="Times New Roman" w:hAnsi="Times New Roman"/>
          <w:sz w:val="24"/>
          <w:szCs w:val="24"/>
        </w:rPr>
        <w:t>v primeru potnih stroškov: dokazilo o plačilu povezanih stroškov na podlagi računov, na katerih so navedeni ime in naslov organa, ki je izdal račun, znesek in valuta, datum računa in potek poti.]</w:t>
      </w:r>
    </w:p>
    <w:p w:rsidR="00B26960" w:rsidRPr="00780C6B" w:rsidRDefault="00B26960">
      <w:pPr>
        <w:spacing w:after="0" w:line="100" w:lineRule="atLeast"/>
        <w:rPr>
          <w:rFonts w:ascii="Times New Roman" w:hAnsi="Times New Roman"/>
          <w:sz w:val="24"/>
          <w:szCs w:val="24"/>
        </w:rPr>
      </w:pPr>
    </w:p>
    <w:p w:rsidR="00B26960" w:rsidRPr="00780C6B" w:rsidRDefault="00B26960">
      <w:pPr>
        <w:jc w:val="both"/>
        <w:rPr>
          <w:rFonts w:ascii="Times New Roman" w:hAnsi="Times New Roman"/>
          <w:sz w:val="24"/>
          <w:szCs w:val="24"/>
        </w:rPr>
      </w:pPr>
      <w:r>
        <w:rPr>
          <w:rFonts w:ascii="Times New Roman" w:hAnsi="Times New Roman"/>
          <w:b/>
          <w:sz w:val="24"/>
          <w:szCs w:val="24"/>
        </w:rPr>
        <w:t>III. POGOJI ZA UPRAVIČENOST AKTIVNOSTI PROJEKTA</w:t>
      </w:r>
    </w:p>
    <w:p w:rsidR="00B26960" w:rsidRPr="00780C6B" w:rsidRDefault="00B26960" w:rsidP="00E7257E">
      <w:pPr>
        <w:numPr>
          <w:ilvl w:val="0"/>
          <w:numId w:val="65"/>
        </w:numPr>
        <w:ind w:left="567" w:hanging="501"/>
        <w:jc w:val="both"/>
        <w:rPr>
          <w:rFonts w:ascii="Times New Roman" w:hAnsi="Times New Roman"/>
          <w:sz w:val="24"/>
          <w:szCs w:val="24"/>
        </w:rPr>
      </w:pPr>
      <w:r>
        <w:rPr>
          <w:rFonts w:ascii="Times New Roman" w:hAnsi="Times New Roman"/>
          <w:sz w:val="24"/>
          <w:szCs w:val="24"/>
        </w:rPr>
        <w:t xml:space="preserve">Upravičenci morajo zagotoviti, da so aktivnosti projekta, za katere so bila dodeljena nepovratna sredstva, upravičene v skladu s pravili iz vodnika za prijavitelje Erasmus+ za vsak ključni ukrep in vsako področje. </w:t>
      </w:r>
    </w:p>
    <w:p w:rsidR="00B26960" w:rsidRPr="00780C6B" w:rsidRDefault="00B26960" w:rsidP="00E7257E">
      <w:pPr>
        <w:numPr>
          <w:ilvl w:val="0"/>
          <w:numId w:val="65"/>
        </w:numPr>
        <w:ind w:left="567" w:hanging="501"/>
        <w:jc w:val="both"/>
        <w:rPr>
          <w:rFonts w:ascii="Times New Roman" w:hAnsi="Times New Roman"/>
          <w:sz w:val="24"/>
          <w:szCs w:val="24"/>
        </w:rPr>
      </w:pPr>
      <w:r>
        <w:rPr>
          <w:rFonts w:ascii="Times New Roman" w:hAnsi="Times New Roman"/>
          <w:sz w:val="24"/>
          <w:szCs w:val="24"/>
        </w:rPr>
        <w:lastRenderedPageBreak/>
        <w:t>Izvedene aktivnosti, ki niso v skladu s pravili iz vodnika za prijavitelje Erasmus+, kakor so dopolnjena s pravili iz te priloge, mora nacionalna agencija razglasiti za neupravičene, zneske nepovratnih sredstev za zadevne aktivnosti pa je treba v celoti povrniti. Povračilo mora zajemati vse proračunske kategorije, za katere so bila dodeljena nepovratna sredstva v zvezi z aktivnostjo, ki je razglašena za neupravičeno.</w:t>
      </w:r>
    </w:p>
    <w:p w:rsidR="00B26960" w:rsidRPr="00780C6B" w:rsidRDefault="00B26960" w:rsidP="00E7257E">
      <w:pPr>
        <w:numPr>
          <w:ilvl w:val="0"/>
          <w:numId w:val="65"/>
        </w:numPr>
        <w:ind w:left="567" w:hanging="501"/>
        <w:jc w:val="both"/>
        <w:rPr>
          <w:rFonts w:ascii="Times New Roman" w:hAnsi="Times New Roman"/>
          <w:b/>
          <w:sz w:val="24"/>
          <w:szCs w:val="24"/>
        </w:rPr>
      </w:pPr>
      <w:r>
        <w:rPr>
          <w:rFonts w:ascii="Times New Roman" w:hAnsi="Times New Roman"/>
          <w:sz w:val="24"/>
          <w:szCs w:val="24"/>
        </w:rPr>
        <w:t xml:space="preserve">Upravičeno minimalno trajanje aktivnosti mobilnosti iz vodnika za prijavitelje je minimalno trajanje aktivnosti brez časa, porabljenega za pot. </w:t>
      </w:r>
    </w:p>
    <w:p w:rsidR="00B26960" w:rsidRPr="00780C6B" w:rsidRDefault="00B26960">
      <w:pPr>
        <w:jc w:val="both"/>
        <w:rPr>
          <w:rFonts w:ascii="Times New Roman" w:hAnsi="Times New Roman"/>
          <w:b/>
          <w:sz w:val="24"/>
          <w:szCs w:val="24"/>
        </w:rPr>
      </w:pPr>
    </w:p>
    <w:p w:rsidR="00B26960" w:rsidRPr="00780C6B" w:rsidRDefault="00B26960">
      <w:pPr>
        <w:jc w:val="both"/>
        <w:rPr>
          <w:rFonts w:ascii="Times New Roman" w:hAnsi="Times New Roman"/>
          <w:sz w:val="24"/>
          <w:szCs w:val="24"/>
          <w:shd w:val="clear" w:color="auto" w:fill="00FFFF"/>
        </w:rPr>
      </w:pPr>
      <w:r>
        <w:rPr>
          <w:rFonts w:ascii="Times New Roman" w:hAnsi="Times New Roman"/>
          <w:b/>
          <w:sz w:val="24"/>
          <w:szCs w:val="24"/>
        </w:rPr>
        <w:t xml:space="preserve">IV. PRAVILA IN POGOJI ZA ZNIŽANJE NEPOVRATNIH SREDSTEV ZARADI SLABEGA ALI DELNEGA IZVAJANJA ALI IZVAJANJA Z ZAMUDO  </w:t>
      </w:r>
    </w:p>
    <w:p w:rsidR="00B26960" w:rsidRPr="00780C6B" w:rsidRDefault="00B26960" w:rsidP="009C0C82">
      <w:pPr>
        <w:numPr>
          <w:ilvl w:val="0"/>
          <w:numId w:val="191"/>
        </w:numPr>
        <w:jc w:val="both"/>
        <w:rPr>
          <w:rFonts w:ascii="Times New Roman" w:hAnsi="Times New Roman"/>
          <w:sz w:val="24"/>
          <w:szCs w:val="24"/>
        </w:rPr>
      </w:pPr>
      <w:r>
        <w:rPr>
          <w:rFonts w:ascii="Times New Roman" w:hAnsi="Times New Roman"/>
          <w:sz w:val="24"/>
          <w:szCs w:val="24"/>
        </w:rPr>
        <w:t>Nacionalna agencija lahko ugotovi, da je projekt izveden slabo, delno ali z zamudo, na podlagi:</w:t>
      </w:r>
    </w:p>
    <w:p w:rsidR="00B26960" w:rsidRPr="00780C6B" w:rsidRDefault="00B26960" w:rsidP="009C0C82">
      <w:pPr>
        <w:numPr>
          <w:ilvl w:val="1"/>
          <w:numId w:val="203"/>
        </w:numPr>
        <w:spacing w:after="0"/>
        <w:jc w:val="both"/>
        <w:rPr>
          <w:rFonts w:ascii="Times New Roman" w:hAnsi="Times New Roman"/>
          <w:sz w:val="24"/>
          <w:szCs w:val="24"/>
        </w:rPr>
      </w:pPr>
      <w:r>
        <w:rPr>
          <w:rFonts w:ascii="Times New Roman" w:hAnsi="Times New Roman"/>
          <w:sz w:val="24"/>
          <w:szCs w:val="24"/>
        </w:rPr>
        <w:t>končnega poročila, ki ga predloži koordinator;</w:t>
      </w:r>
    </w:p>
    <w:p w:rsidR="00B26960" w:rsidRDefault="00B26960" w:rsidP="009C0C82">
      <w:pPr>
        <w:numPr>
          <w:ilvl w:val="1"/>
          <w:numId w:val="203"/>
        </w:numPr>
        <w:spacing w:after="0"/>
        <w:jc w:val="both"/>
        <w:rPr>
          <w:rFonts w:ascii="Times New Roman" w:hAnsi="Times New Roman"/>
          <w:sz w:val="24"/>
          <w:szCs w:val="24"/>
        </w:rPr>
      </w:pPr>
      <w:r>
        <w:rPr>
          <w:rFonts w:ascii="Times New Roman" w:hAnsi="Times New Roman"/>
          <w:sz w:val="24"/>
          <w:szCs w:val="24"/>
        </w:rPr>
        <w:t>rezultatov in izidov, doseženih v okviru projekta.</w:t>
      </w:r>
    </w:p>
    <w:p w:rsidR="00E7257E" w:rsidRPr="00780C6B" w:rsidRDefault="00E7257E" w:rsidP="00E33E61">
      <w:pPr>
        <w:spacing w:after="0"/>
        <w:ind w:left="1276" w:hanging="283"/>
        <w:jc w:val="both"/>
        <w:rPr>
          <w:rFonts w:ascii="Times New Roman" w:hAnsi="Times New Roman"/>
          <w:sz w:val="24"/>
          <w:szCs w:val="24"/>
        </w:rPr>
      </w:pPr>
    </w:p>
    <w:p w:rsidR="00B26960" w:rsidRPr="00A56BE4" w:rsidRDefault="00B26960" w:rsidP="009C0C82">
      <w:pPr>
        <w:numPr>
          <w:ilvl w:val="0"/>
          <w:numId w:val="191"/>
        </w:numPr>
        <w:jc w:val="both"/>
        <w:rPr>
          <w:rFonts w:ascii="Times New Roman" w:hAnsi="Times New Roman"/>
          <w:sz w:val="24"/>
          <w:szCs w:val="24"/>
        </w:rPr>
      </w:pPr>
      <w:r>
        <w:rPr>
          <w:rFonts w:ascii="Times New Roman" w:hAnsi="Times New Roman"/>
          <w:sz w:val="24"/>
          <w:szCs w:val="24"/>
        </w:rPr>
        <w:t>Nacionalna agencija lahko upošteva tudi informacije, ki jih prejme iz katerega koli drugega ustreznega vira in ki potrjujejo, da projekt ni izveden v skladu s pogodbenimi določbami. Drugi viri informacij lahko vključujejo obiske za spremljanje, preglede dokumentacije ali preglede na kraju samem, ki jih izvede nacionalna agencija.</w:t>
      </w:r>
    </w:p>
    <w:p w:rsidR="00B26960" w:rsidRPr="00780C6B" w:rsidRDefault="00B26960" w:rsidP="009C0C82">
      <w:pPr>
        <w:numPr>
          <w:ilvl w:val="0"/>
          <w:numId w:val="191"/>
        </w:numPr>
        <w:jc w:val="both"/>
        <w:rPr>
          <w:rFonts w:ascii="Times New Roman" w:hAnsi="Times New Roman"/>
          <w:sz w:val="24"/>
          <w:szCs w:val="24"/>
        </w:rPr>
      </w:pPr>
      <w:r>
        <w:rPr>
          <w:rFonts w:ascii="Times New Roman" w:hAnsi="Times New Roman"/>
          <w:sz w:val="24"/>
          <w:szCs w:val="24"/>
        </w:rPr>
        <w:t xml:space="preserve">Končno poročilo se oceni na podlagi meril kakovosti, na podlagi katerih lahko prejme največ 100 točk. Če končno poročilo skupno prejme manj kot 50 točk, lahko nacionalna agencija zniža končni znesek nepovratnih sredstev zaradi slabega ali delnega izvajanja projekta ali izvajanja projekta z zamudo, čeprav so bile vse sporočene aktivnosti upravičene in so se dejansko izvedle.  </w:t>
      </w:r>
    </w:p>
    <w:p w:rsidR="00B26960" w:rsidRPr="00780C6B" w:rsidRDefault="00B26960" w:rsidP="009C0C82">
      <w:pPr>
        <w:numPr>
          <w:ilvl w:val="0"/>
          <w:numId w:val="191"/>
        </w:numPr>
        <w:jc w:val="both"/>
        <w:rPr>
          <w:rFonts w:ascii="Times New Roman" w:hAnsi="Times New Roman"/>
          <w:sz w:val="24"/>
          <w:szCs w:val="24"/>
        </w:rPr>
      </w:pPr>
      <w:r>
        <w:rPr>
          <w:rFonts w:ascii="Times New Roman" w:hAnsi="Times New Roman"/>
          <w:sz w:val="24"/>
          <w:szCs w:val="24"/>
        </w:rPr>
        <w:t>Nacionalna agencija oceni končno poročilo, rezultate in izide na podlagi skupnega sklopa meril kakovosti, ki se osredotočajo na naslednje postavke:</w:t>
      </w:r>
    </w:p>
    <w:p w:rsidR="00B26960" w:rsidRPr="00780C6B" w:rsidRDefault="00B26960" w:rsidP="009C0C82">
      <w:pPr>
        <w:numPr>
          <w:ilvl w:val="1"/>
          <w:numId w:val="192"/>
        </w:numPr>
        <w:jc w:val="both"/>
        <w:rPr>
          <w:rFonts w:ascii="Times New Roman" w:hAnsi="Times New Roman"/>
          <w:sz w:val="24"/>
          <w:szCs w:val="24"/>
        </w:rPr>
      </w:pPr>
      <w:r>
        <w:rPr>
          <w:rFonts w:ascii="Times New Roman" w:hAnsi="Times New Roman"/>
          <w:sz w:val="24"/>
          <w:szCs w:val="24"/>
        </w:rPr>
        <w:t>v kolikšni meri se je projekt izvajal v skladu z odobreno vlogo za nepovratna sredstva;</w:t>
      </w:r>
    </w:p>
    <w:p w:rsidR="00B26960" w:rsidRPr="00780C6B" w:rsidRDefault="00B26960" w:rsidP="009C0C82">
      <w:pPr>
        <w:numPr>
          <w:ilvl w:val="1"/>
          <w:numId w:val="192"/>
        </w:numPr>
        <w:jc w:val="both"/>
        <w:rPr>
          <w:rFonts w:ascii="Times New Roman" w:hAnsi="Times New Roman"/>
          <w:sz w:val="24"/>
          <w:szCs w:val="24"/>
        </w:rPr>
      </w:pPr>
      <w:r>
        <w:rPr>
          <w:rFonts w:ascii="Times New Roman" w:hAnsi="Times New Roman"/>
          <w:sz w:val="24"/>
          <w:szCs w:val="24"/>
        </w:rPr>
        <w:t>kakovost izvedenih aktivnosti in njihova skladnost s cilji projekta;</w:t>
      </w:r>
    </w:p>
    <w:p w:rsidR="00B26960" w:rsidRPr="00780C6B" w:rsidRDefault="00B26960" w:rsidP="009C0C82">
      <w:pPr>
        <w:numPr>
          <w:ilvl w:val="1"/>
          <w:numId w:val="192"/>
        </w:numPr>
        <w:jc w:val="both"/>
        <w:rPr>
          <w:rFonts w:ascii="Times New Roman" w:hAnsi="Times New Roman"/>
          <w:sz w:val="24"/>
          <w:szCs w:val="24"/>
        </w:rPr>
      </w:pPr>
      <w:r>
        <w:rPr>
          <w:rFonts w:ascii="Times New Roman" w:hAnsi="Times New Roman"/>
          <w:sz w:val="24"/>
          <w:szCs w:val="24"/>
        </w:rPr>
        <w:t xml:space="preserve">kakovost doseženih rezultatov in izidov; </w:t>
      </w:r>
    </w:p>
    <w:p w:rsidR="00B26960" w:rsidRPr="00780C6B" w:rsidRDefault="00B26960" w:rsidP="009C0C82">
      <w:pPr>
        <w:numPr>
          <w:ilvl w:val="1"/>
          <w:numId w:val="192"/>
        </w:numPr>
        <w:jc w:val="both"/>
        <w:rPr>
          <w:rFonts w:ascii="Times New Roman" w:hAnsi="Times New Roman"/>
          <w:sz w:val="24"/>
          <w:szCs w:val="24"/>
        </w:rPr>
      </w:pPr>
      <w:r>
        <w:rPr>
          <w:rFonts w:ascii="Times New Roman" w:hAnsi="Times New Roman"/>
          <w:sz w:val="24"/>
          <w:szCs w:val="24"/>
        </w:rPr>
        <w:lastRenderedPageBreak/>
        <w:t>učni rezultati in vpliv na udeležence;</w:t>
      </w:r>
    </w:p>
    <w:p w:rsidR="00B26960" w:rsidRPr="00780C6B" w:rsidRDefault="00B26960" w:rsidP="009C0C82">
      <w:pPr>
        <w:numPr>
          <w:ilvl w:val="1"/>
          <w:numId w:val="192"/>
        </w:numPr>
        <w:jc w:val="both"/>
        <w:rPr>
          <w:rFonts w:ascii="Times New Roman" w:hAnsi="Times New Roman"/>
          <w:sz w:val="24"/>
          <w:szCs w:val="24"/>
        </w:rPr>
      </w:pPr>
      <w:r>
        <w:rPr>
          <w:rFonts w:ascii="Times New Roman" w:hAnsi="Times New Roman"/>
          <w:sz w:val="24"/>
          <w:szCs w:val="24"/>
        </w:rPr>
        <w:t xml:space="preserve">v kolikšni meri se je za projekt izkazalo, da je inovativen/dopolnjuje druge pobude; </w:t>
      </w:r>
    </w:p>
    <w:p w:rsidR="00B26960" w:rsidRPr="00780C6B" w:rsidRDefault="00B26960" w:rsidP="009C0C82">
      <w:pPr>
        <w:numPr>
          <w:ilvl w:val="1"/>
          <w:numId w:val="192"/>
        </w:numPr>
        <w:jc w:val="both"/>
        <w:rPr>
          <w:rFonts w:ascii="Times New Roman" w:hAnsi="Times New Roman"/>
          <w:sz w:val="24"/>
          <w:szCs w:val="24"/>
        </w:rPr>
      </w:pPr>
      <w:r>
        <w:rPr>
          <w:rFonts w:ascii="Times New Roman" w:hAnsi="Times New Roman"/>
          <w:sz w:val="24"/>
          <w:szCs w:val="24"/>
        </w:rPr>
        <w:t xml:space="preserve">v kolikšni meri se je za projekt izkazalo, da prispeva dodano vrednost na ravni EU; </w:t>
      </w:r>
    </w:p>
    <w:p w:rsidR="00B26960" w:rsidRPr="00780C6B" w:rsidRDefault="00B26960" w:rsidP="009C0C82">
      <w:pPr>
        <w:numPr>
          <w:ilvl w:val="1"/>
          <w:numId w:val="192"/>
        </w:numPr>
        <w:jc w:val="both"/>
        <w:rPr>
          <w:rFonts w:ascii="Times New Roman" w:hAnsi="Times New Roman"/>
          <w:sz w:val="24"/>
          <w:szCs w:val="24"/>
        </w:rPr>
      </w:pPr>
      <w:r>
        <w:rPr>
          <w:rFonts w:ascii="Times New Roman" w:hAnsi="Times New Roman"/>
          <w:sz w:val="24"/>
          <w:szCs w:val="24"/>
        </w:rPr>
        <w:t>v kolikšni meri so se v okviru projekta izvedli učinkoviti ukrepi za zagotavljanje kakovosti in ukrepi za vrednotenje rezultatov projekta;</w:t>
      </w:r>
    </w:p>
    <w:p w:rsidR="00B26960" w:rsidRPr="00780C6B" w:rsidRDefault="00B26960" w:rsidP="009C0C82">
      <w:pPr>
        <w:numPr>
          <w:ilvl w:val="1"/>
          <w:numId w:val="192"/>
        </w:numPr>
        <w:jc w:val="both"/>
        <w:rPr>
          <w:rFonts w:ascii="Times New Roman" w:hAnsi="Times New Roman"/>
          <w:sz w:val="24"/>
          <w:szCs w:val="24"/>
        </w:rPr>
      </w:pPr>
      <w:r>
        <w:rPr>
          <w:rFonts w:ascii="Times New Roman" w:hAnsi="Times New Roman"/>
          <w:sz w:val="24"/>
          <w:szCs w:val="24"/>
        </w:rPr>
        <w:t>vpliv na sodelujoče organizacije;</w:t>
      </w:r>
    </w:p>
    <w:p w:rsidR="00B26960" w:rsidRPr="00780C6B" w:rsidRDefault="00B26960" w:rsidP="009C0C82">
      <w:pPr>
        <w:numPr>
          <w:ilvl w:val="1"/>
          <w:numId w:val="192"/>
        </w:numPr>
        <w:jc w:val="both"/>
        <w:rPr>
          <w:rFonts w:ascii="Times New Roman" w:hAnsi="Times New Roman"/>
          <w:sz w:val="24"/>
          <w:szCs w:val="24"/>
        </w:rPr>
      </w:pPr>
      <w:r>
        <w:rPr>
          <w:rFonts w:ascii="Times New Roman" w:hAnsi="Times New Roman"/>
          <w:sz w:val="24"/>
          <w:szCs w:val="24"/>
        </w:rPr>
        <w:t>v primeru aktivnosti učenja, poučevanja in usposabljanja: kakovost praktičnih ureditev za podporo mobilnosti z vidika priprave in spremljanja udeležencev ter njihove podpore med aktivnostjo mobilnosti, kakovost ureditev za priznavanje/potrjevanje učnih rezultatov udeležencev;</w:t>
      </w:r>
    </w:p>
    <w:p w:rsidR="00B26960" w:rsidRPr="00780C6B" w:rsidRDefault="00B26960" w:rsidP="009C0C82">
      <w:pPr>
        <w:numPr>
          <w:ilvl w:val="1"/>
          <w:numId w:val="192"/>
        </w:numPr>
        <w:jc w:val="both"/>
        <w:rPr>
          <w:rFonts w:ascii="Times New Roman" w:hAnsi="Times New Roman"/>
          <w:sz w:val="24"/>
          <w:szCs w:val="24"/>
        </w:rPr>
      </w:pPr>
      <w:r>
        <w:rPr>
          <w:rFonts w:ascii="Times New Roman" w:hAnsi="Times New Roman"/>
          <w:sz w:val="24"/>
          <w:szCs w:val="24"/>
        </w:rPr>
        <w:t>kakovost in obseg izvedenih aktivnosti razširjanja;</w:t>
      </w:r>
    </w:p>
    <w:p w:rsidR="00B26960" w:rsidRPr="00780C6B" w:rsidRDefault="00B26960" w:rsidP="009C0C82">
      <w:pPr>
        <w:numPr>
          <w:ilvl w:val="1"/>
          <w:numId w:val="192"/>
        </w:numPr>
        <w:jc w:val="both"/>
        <w:rPr>
          <w:rFonts w:ascii="Times New Roman" w:hAnsi="Times New Roman"/>
          <w:sz w:val="24"/>
          <w:szCs w:val="24"/>
        </w:rPr>
      </w:pPr>
      <w:r>
        <w:rPr>
          <w:rFonts w:ascii="Times New Roman" w:hAnsi="Times New Roman"/>
          <w:sz w:val="24"/>
          <w:szCs w:val="24"/>
        </w:rPr>
        <w:t>morebitni širši učinek projekta na posameznike in organizacije, ki niso upravičenci.</w:t>
      </w:r>
    </w:p>
    <w:p w:rsidR="00B26960" w:rsidRDefault="00B26960" w:rsidP="007503D8">
      <w:pPr>
        <w:numPr>
          <w:ilvl w:val="0"/>
          <w:numId w:val="193"/>
        </w:numPr>
        <w:jc w:val="both"/>
        <w:rPr>
          <w:rFonts w:ascii="Times New Roman" w:hAnsi="Times New Roman"/>
          <w:sz w:val="24"/>
          <w:szCs w:val="24"/>
        </w:rPr>
      </w:pPr>
      <w:r>
        <w:rPr>
          <w:rFonts w:ascii="Times New Roman" w:hAnsi="Times New Roman"/>
          <w:sz w:val="24"/>
          <w:szCs w:val="24"/>
        </w:rPr>
        <w:t>Znižanje nepovratnih sredstev zaradi slabega ali delnega izvajanja ali izvajanja z zamudo se lahko uporabi za končni skupni znesek upravičenih stroškov in lahko znaša:</w:t>
      </w:r>
    </w:p>
    <w:p w:rsidR="00B26960" w:rsidRPr="00780C6B" w:rsidRDefault="00B26960" w:rsidP="009C0C82">
      <w:pPr>
        <w:numPr>
          <w:ilvl w:val="3"/>
          <w:numId w:val="198"/>
        </w:numPr>
        <w:spacing w:after="0"/>
        <w:ind w:left="1843"/>
        <w:jc w:val="both"/>
        <w:rPr>
          <w:rFonts w:ascii="Times New Roman" w:hAnsi="Times New Roman"/>
          <w:sz w:val="24"/>
          <w:szCs w:val="24"/>
        </w:rPr>
      </w:pPr>
      <w:r>
        <w:rPr>
          <w:rFonts w:ascii="Times New Roman" w:hAnsi="Times New Roman"/>
          <w:sz w:val="24"/>
          <w:szCs w:val="24"/>
        </w:rPr>
        <w:t>25 %, če končno poročilo prejme najmanj 40 točk in manj kot 50 točk;</w:t>
      </w:r>
    </w:p>
    <w:p w:rsidR="00B26960" w:rsidRPr="00780C6B" w:rsidRDefault="00B26960" w:rsidP="009C0C82">
      <w:pPr>
        <w:numPr>
          <w:ilvl w:val="3"/>
          <w:numId w:val="198"/>
        </w:numPr>
        <w:spacing w:after="0"/>
        <w:ind w:left="1843"/>
        <w:jc w:val="both"/>
        <w:rPr>
          <w:rFonts w:ascii="Times New Roman" w:hAnsi="Times New Roman"/>
          <w:sz w:val="24"/>
          <w:szCs w:val="24"/>
        </w:rPr>
      </w:pPr>
      <w:r>
        <w:rPr>
          <w:rFonts w:ascii="Times New Roman" w:hAnsi="Times New Roman"/>
          <w:sz w:val="24"/>
          <w:szCs w:val="24"/>
        </w:rPr>
        <w:t>50 %, če končno poročilo prejme najmanj 25 točk in manj kot 40 točk;</w:t>
      </w:r>
    </w:p>
    <w:p w:rsidR="00B26960" w:rsidRPr="00780C6B" w:rsidRDefault="00B26960" w:rsidP="009C0C82">
      <w:pPr>
        <w:numPr>
          <w:ilvl w:val="3"/>
          <w:numId w:val="198"/>
        </w:numPr>
        <w:spacing w:after="0"/>
        <w:ind w:left="1843"/>
        <w:jc w:val="both"/>
        <w:rPr>
          <w:rFonts w:ascii="Times New Roman" w:hAnsi="Times New Roman"/>
          <w:sz w:val="24"/>
          <w:szCs w:val="24"/>
        </w:rPr>
      </w:pPr>
      <w:r>
        <w:rPr>
          <w:rFonts w:ascii="Times New Roman" w:hAnsi="Times New Roman"/>
          <w:sz w:val="24"/>
          <w:szCs w:val="24"/>
        </w:rPr>
        <w:t>75 %, če končno poročilo prejme manj kot 25 točk.</w:t>
      </w:r>
    </w:p>
    <w:p w:rsidR="00B26960" w:rsidRPr="00780C6B" w:rsidRDefault="00B26960" w:rsidP="00E33E61">
      <w:pPr>
        <w:widowControl w:val="0"/>
        <w:spacing w:line="273" w:lineRule="auto"/>
        <w:jc w:val="both"/>
        <w:rPr>
          <w:rFonts w:ascii="Times New Roman" w:hAnsi="Times New Roman"/>
          <w:b/>
          <w:sz w:val="24"/>
          <w:szCs w:val="24"/>
        </w:rPr>
      </w:pPr>
    </w:p>
    <w:p w:rsidR="00F94DA4" w:rsidRDefault="00B26960">
      <w:pPr>
        <w:widowControl w:val="0"/>
        <w:spacing w:line="273" w:lineRule="auto"/>
        <w:jc w:val="both"/>
        <w:rPr>
          <w:rFonts w:ascii="Times New Roman" w:hAnsi="Times New Roman"/>
          <w:b/>
          <w:sz w:val="24"/>
          <w:szCs w:val="24"/>
        </w:rPr>
      </w:pPr>
      <w:r>
        <w:rPr>
          <w:rFonts w:ascii="Times New Roman" w:hAnsi="Times New Roman"/>
          <w:b/>
          <w:sz w:val="24"/>
          <w:szCs w:val="24"/>
        </w:rPr>
        <w:t xml:space="preserve">V. </w:t>
      </w:r>
      <w:r w:rsidR="00F94DA4">
        <w:rPr>
          <w:rFonts w:ascii="Times New Roman" w:hAnsi="Times New Roman"/>
          <w:b/>
          <w:sz w:val="24"/>
          <w:szCs w:val="24"/>
        </w:rPr>
        <w:t>SPREMEMBE NEPOVRATNIH SREDSTEV</w:t>
      </w:r>
    </w:p>
    <w:p w:rsidR="00B26960" w:rsidRPr="000F7866" w:rsidRDefault="00F94DA4">
      <w:pPr>
        <w:widowControl w:val="0"/>
        <w:spacing w:line="273" w:lineRule="auto"/>
        <w:jc w:val="both"/>
        <w:rPr>
          <w:rFonts w:ascii="Times New Roman" w:hAnsi="Times New Roman"/>
          <w:sz w:val="24"/>
          <w:szCs w:val="24"/>
          <w:u w:val="single"/>
          <w:shd w:val="clear" w:color="auto" w:fill="00FFFF"/>
        </w:rPr>
      </w:pPr>
      <w:r w:rsidRPr="000F7866">
        <w:rPr>
          <w:rFonts w:ascii="Times New Roman" w:hAnsi="Times New Roman"/>
          <w:sz w:val="24"/>
          <w:szCs w:val="24"/>
        </w:rPr>
        <w:t>NI RELEVANTNO</w:t>
      </w:r>
    </w:p>
    <w:p w:rsidR="00B26960" w:rsidRPr="00780C6B" w:rsidRDefault="00B26960">
      <w:pPr>
        <w:rPr>
          <w:rFonts w:ascii="Times New Roman" w:hAnsi="Times New Roman"/>
          <w:sz w:val="24"/>
          <w:szCs w:val="24"/>
        </w:rPr>
      </w:pPr>
      <w:r>
        <w:rPr>
          <w:rFonts w:ascii="Times New Roman" w:hAnsi="Times New Roman"/>
          <w:b/>
          <w:sz w:val="24"/>
          <w:szCs w:val="24"/>
        </w:rPr>
        <w:t>VI. PREVERJANJA UPRAVIČENCEV DO NEPOVRATNIH SREDSTEV IN PREDLOŽITEV DOKAZIL</w:t>
      </w:r>
    </w:p>
    <w:p w:rsidR="00B26960" w:rsidRPr="00780C6B" w:rsidRDefault="00B26960">
      <w:pPr>
        <w:jc w:val="both"/>
        <w:rPr>
          <w:rFonts w:ascii="Times New Roman" w:hAnsi="Times New Roman"/>
          <w:sz w:val="24"/>
          <w:szCs w:val="24"/>
        </w:rPr>
      </w:pPr>
      <w:r>
        <w:rPr>
          <w:rFonts w:ascii="Times New Roman" w:hAnsi="Times New Roman"/>
          <w:sz w:val="24"/>
          <w:szCs w:val="24"/>
        </w:rPr>
        <w:t>V skladu s členom II.27 Priloge I k Sporazumu se lahko pri upravičencih izvedejo preverjanja in</w:t>
      </w:r>
      <w:r w:rsidR="00F94DA4">
        <w:rPr>
          <w:rFonts w:ascii="Times New Roman" w:hAnsi="Times New Roman"/>
          <w:sz w:val="24"/>
          <w:szCs w:val="24"/>
        </w:rPr>
        <w:t xml:space="preserve"> revizije v zvezi s Sporazumom. </w:t>
      </w:r>
      <w:r>
        <w:rPr>
          <w:rFonts w:ascii="Times New Roman" w:hAnsi="Times New Roman"/>
          <w:sz w:val="24"/>
          <w:szCs w:val="24"/>
        </w:rPr>
        <w:t xml:space="preserve">Namen preverjanj in revizij je prepričati se, ali so upravičenci nepovratna sredstva upravljali ob upoštevanju pravil iz Sporazuma, da se določi končni znesek nepovratnih sredstev, do katerega so upravičeni upravičenci. </w:t>
      </w:r>
    </w:p>
    <w:p w:rsidR="00B26960" w:rsidRPr="00780C6B" w:rsidRDefault="00B26960">
      <w:pPr>
        <w:jc w:val="both"/>
        <w:rPr>
          <w:rFonts w:ascii="Times New Roman" w:hAnsi="Times New Roman"/>
          <w:sz w:val="24"/>
        </w:rPr>
      </w:pPr>
      <w:r>
        <w:rPr>
          <w:rFonts w:ascii="Times New Roman" w:hAnsi="Times New Roman"/>
          <w:sz w:val="24"/>
          <w:szCs w:val="24"/>
        </w:rPr>
        <w:lastRenderedPageBreak/>
        <w:t>Preverjanje končnega poročila je treba izvesti za vse projekte. Poleg tega se lahko za projekt izvede dodatno preverjanje dokumentacije ali pregled na kraju samem, če je sporazum za projekt vključen v vzorec nacionalne agencije, ki ga zahteva Evropska komisija, ali če je nacionalna agencija zadevni sporazum izbrala za usmerjeno preverjanje na podlagi ocene tveganja.</w:t>
      </w:r>
    </w:p>
    <w:p w:rsidR="00B26960" w:rsidRPr="00780C6B" w:rsidRDefault="00B26960">
      <w:pPr>
        <w:jc w:val="both"/>
        <w:rPr>
          <w:rFonts w:ascii="Times New Roman" w:hAnsi="Times New Roman"/>
          <w:sz w:val="24"/>
          <w:szCs w:val="24"/>
        </w:rPr>
      </w:pPr>
      <w:r>
        <w:rPr>
          <w:rFonts w:ascii="Times New Roman" w:hAnsi="Times New Roman"/>
          <w:sz w:val="24"/>
        </w:rPr>
        <w:t>Za preverjanje končnega poročila in preverjanje dokumentacije mora koordinator nacionalni agenciji predložiti kopije dokazil iz oddelka I.2 (vključno s kopijami dokazil drugih upravičencev), razen če nacionalna agencija zahteva predložitev izvirnikov. Nacionalna agencija mora izvirnike dokazil po analizi vrniti upravičencu.</w:t>
      </w:r>
      <w:r>
        <w:rPr>
          <w:rFonts w:ascii="Times New Roman" w:hAnsi="Times New Roman"/>
          <w:sz w:val="24"/>
          <w:szCs w:val="24"/>
        </w:rPr>
        <w:t xml:space="preserve"> Če upravičenec ni uradno pooblaščen za pošiljanje izvirnikov dokumentov za preverjanje končnega poročila ali dokumentacije, lahko zadevni upravičenec namesto tega pošlje kopijo dokazil.</w:t>
      </w:r>
    </w:p>
    <w:p w:rsidR="00B26960" w:rsidRPr="00780C6B" w:rsidRDefault="00B26960">
      <w:pPr>
        <w:jc w:val="both"/>
        <w:rPr>
          <w:rFonts w:ascii="Times New Roman" w:hAnsi="Times New Roman"/>
          <w:sz w:val="24"/>
          <w:szCs w:val="24"/>
        </w:rPr>
      </w:pPr>
      <w:r>
        <w:rPr>
          <w:rFonts w:ascii="Times New Roman" w:hAnsi="Times New Roman"/>
          <w:sz w:val="24"/>
          <w:szCs w:val="24"/>
        </w:rPr>
        <w:t>Nacionalna agencija lahko od upravičencev zahteva, da za kakršno koli preverjanje zagotovijo dodana dokazila ali dokaze, ki se navadno zahtevajo za preverjanje kakšne druge vrste, kot je določeno v členu II.27 splošnih pogojev.</w:t>
      </w:r>
    </w:p>
    <w:p w:rsidR="00B26960" w:rsidRPr="00780C6B" w:rsidRDefault="00B26960">
      <w:pPr>
        <w:jc w:val="both"/>
        <w:rPr>
          <w:rFonts w:ascii="Times New Roman" w:eastAsia="SimSun" w:hAnsi="Times New Roman"/>
          <w:b/>
          <w:kern w:val="1"/>
          <w:sz w:val="24"/>
          <w:szCs w:val="24"/>
          <w:shd w:val="clear" w:color="auto" w:fill="00FFFF"/>
        </w:rPr>
      </w:pPr>
      <w:r>
        <w:rPr>
          <w:rFonts w:ascii="Times New Roman" w:hAnsi="Times New Roman"/>
          <w:sz w:val="24"/>
          <w:szCs w:val="24"/>
        </w:rPr>
        <w:t>Različna preverjanja morajo vključevati:</w:t>
      </w:r>
    </w:p>
    <w:p w:rsidR="00B26960" w:rsidRPr="001A6DB7" w:rsidRDefault="00B26960" w:rsidP="00C74462">
      <w:pPr>
        <w:pStyle w:val="ListParagraph"/>
        <w:numPr>
          <w:ilvl w:val="0"/>
          <w:numId w:val="79"/>
        </w:numPr>
        <w:ind w:left="426" w:hanging="426"/>
        <w:jc w:val="both"/>
        <w:rPr>
          <w:rFonts w:ascii="Times New Roman" w:hAnsi="Times New Roman" w:cs="Times New Roman"/>
          <w:b/>
          <w:kern w:val="1"/>
          <w:sz w:val="24"/>
          <w:szCs w:val="24"/>
        </w:rPr>
      </w:pPr>
      <w:r>
        <w:rPr>
          <w:rFonts w:ascii="Times New Roman" w:hAnsi="Times New Roman"/>
          <w:b/>
          <w:sz w:val="24"/>
          <w:szCs w:val="24"/>
        </w:rPr>
        <w:t>Preverjanje končnega poročila</w:t>
      </w:r>
    </w:p>
    <w:p w:rsidR="00B26960" w:rsidRPr="001A6DB7" w:rsidRDefault="00B26960">
      <w:pPr>
        <w:pStyle w:val="ListParagraph"/>
        <w:jc w:val="both"/>
        <w:rPr>
          <w:rFonts w:ascii="Times New Roman" w:hAnsi="Times New Roman" w:cs="Times New Roman"/>
          <w:b/>
          <w:kern w:val="1"/>
          <w:sz w:val="24"/>
          <w:szCs w:val="24"/>
        </w:rPr>
      </w:pPr>
    </w:p>
    <w:p w:rsidR="00B26960" w:rsidRPr="00F70C1D" w:rsidRDefault="00B26960" w:rsidP="00C74462">
      <w:pPr>
        <w:ind w:left="426"/>
        <w:jc w:val="both"/>
        <w:rPr>
          <w:rFonts w:ascii="Times New Roman" w:eastAsia="SimSun" w:hAnsi="Times New Roman"/>
          <w:kern w:val="1"/>
          <w:sz w:val="24"/>
          <w:szCs w:val="24"/>
        </w:rPr>
      </w:pPr>
      <w:r>
        <w:rPr>
          <w:rFonts w:ascii="Times New Roman" w:hAnsi="Times New Roman"/>
          <w:sz w:val="24"/>
          <w:szCs w:val="24"/>
        </w:rPr>
        <w:t>Preverjanje končnega poročila se izvede v fazi končnega poročanja v prostorih nacionalne agencije, da se določi končni znesek nepovratnih sredstev, do katerega so upravičeni upravičenci.</w:t>
      </w:r>
    </w:p>
    <w:p w:rsidR="00B26960" w:rsidRPr="001F5BC9" w:rsidRDefault="00B26960" w:rsidP="00C74462">
      <w:pPr>
        <w:ind w:left="426"/>
        <w:jc w:val="both"/>
        <w:rPr>
          <w:rFonts w:ascii="Times New Roman" w:hAnsi="Times New Roman"/>
          <w:kern w:val="1"/>
          <w:sz w:val="24"/>
          <w:szCs w:val="24"/>
        </w:rPr>
      </w:pPr>
      <w:r>
        <w:rPr>
          <w:rFonts w:ascii="Times New Roman" w:hAnsi="Times New Roman"/>
          <w:sz w:val="24"/>
          <w:szCs w:val="24"/>
        </w:rPr>
        <w:t>Koordinator mora nacionalni agenciji prek orodja za mobilnost predložiti končno poročilo, ki vključuje naslednje informacije o odhodkih iz nepovratnih sredstev:</w:t>
      </w:r>
    </w:p>
    <w:p w:rsidR="00B26960" w:rsidRPr="001A6DB7" w:rsidRDefault="00B26960" w:rsidP="00C74462">
      <w:pPr>
        <w:pStyle w:val="ListParagraph"/>
        <w:numPr>
          <w:ilvl w:val="0"/>
          <w:numId w:val="77"/>
        </w:numPr>
        <w:ind w:left="1080" w:firstLine="54"/>
        <w:jc w:val="both"/>
        <w:rPr>
          <w:rFonts w:ascii="Times New Roman" w:hAnsi="Times New Roman" w:cs="Times New Roman"/>
          <w:kern w:val="1"/>
          <w:sz w:val="24"/>
          <w:szCs w:val="24"/>
        </w:rPr>
      </w:pPr>
      <w:r>
        <w:rPr>
          <w:rFonts w:ascii="Times New Roman" w:hAnsi="Times New Roman"/>
          <w:sz w:val="24"/>
          <w:szCs w:val="24"/>
        </w:rPr>
        <w:t>Prispevki na enoto, porabljeni za proračunske kategorije:</w:t>
      </w:r>
    </w:p>
    <w:p w:rsidR="00B26960" w:rsidRPr="001A6DB7" w:rsidRDefault="00B26960">
      <w:pPr>
        <w:pStyle w:val="ListParagraph"/>
        <w:numPr>
          <w:ilvl w:val="1"/>
          <w:numId w:val="77"/>
        </w:numPr>
        <w:ind w:left="1800" w:firstLine="0"/>
        <w:jc w:val="both"/>
        <w:rPr>
          <w:rFonts w:ascii="Times New Roman" w:hAnsi="Times New Roman" w:cs="Times New Roman"/>
          <w:kern w:val="1"/>
          <w:sz w:val="24"/>
          <w:szCs w:val="24"/>
        </w:rPr>
      </w:pPr>
      <w:r>
        <w:rPr>
          <w:rFonts w:ascii="Times New Roman" w:hAnsi="Times New Roman"/>
          <w:sz w:val="24"/>
          <w:szCs w:val="24"/>
        </w:rPr>
        <w:t xml:space="preserve">upravljanje in izvajanje projekta </w:t>
      </w:r>
    </w:p>
    <w:p w:rsidR="00715B7C" w:rsidRPr="00715B7C" w:rsidRDefault="00B26960" w:rsidP="00715B7C">
      <w:pPr>
        <w:pStyle w:val="ListParagraph"/>
        <w:numPr>
          <w:ilvl w:val="1"/>
          <w:numId w:val="77"/>
        </w:numPr>
        <w:ind w:left="1800" w:firstLine="0"/>
        <w:jc w:val="both"/>
        <w:rPr>
          <w:rFonts w:ascii="Times New Roman" w:hAnsi="Times New Roman" w:cs="Times New Roman"/>
          <w:kern w:val="1"/>
          <w:sz w:val="24"/>
          <w:szCs w:val="24"/>
          <w:shd w:val="clear" w:color="auto" w:fill="00FFFF"/>
        </w:rPr>
      </w:pPr>
      <w:r>
        <w:rPr>
          <w:rFonts w:ascii="Times New Roman" w:hAnsi="Times New Roman"/>
          <w:sz w:val="24"/>
          <w:szCs w:val="24"/>
        </w:rPr>
        <w:t xml:space="preserve">mednarodna projektna srečanja </w:t>
      </w:r>
    </w:p>
    <w:p w:rsidR="00715B7C" w:rsidRPr="00715B7C" w:rsidRDefault="00B26960" w:rsidP="00715B7C">
      <w:pPr>
        <w:pStyle w:val="ListParagraph"/>
        <w:numPr>
          <w:ilvl w:val="1"/>
          <w:numId w:val="77"/>
        </w:numPr>
        <w:ind w:left="1800" w:firstLine="0"/>
        <w:jc w:val="both"/>
        <w:rPr>
          <w:rFonts w:ascii="Times New Roman" w:hAnsi="Times New Roman" w:cs="Times New Roman"/>
          <w:kern w:val="1"/>
          <w:sz w:val="24"/>
          <w:szCs w:val="24"/>
          <w:shd w:val="clear" w:color="auto" w:fill="00FFFF"/>
        </w:rPr>
      </w:pPr>
      <w:r w:rsidRPr="00715B7C">
        <w:rPr>
          <w:rFonts w:ascii="Times New Roman" w:hAnsi="Times New Roman" w:cs="Times New Roman"/>
          <w:sz w:val="24"/>
          <w:szCs w:val="24"/>
        </w:rPr>
        <w:t xml:space="preserve">samo za strateška partnerstva za </w:t>
      </w:r>
      <w:r w:rsidR="00715B7C">
        <w:rPr>
          <w:rFonts w:ascii="Times New Roman" w:hAnsi="Times New Roman" w:cs="Times New Roman"/>
          <w:sz w:val="24"/>
          <w:szCs w:val="24"/>
        </w:rPr>
        <w:t>inovacije: i</w:t>
      </w:r>
      <w:bookmarkStart w:id="0" w:name="_GoBack"/>
      <w:bookmarkEnd w:id="0"/>
      <w:r w:rsidR="00715B7C">
        <w:rPr>
          <w:rFonts w:ascii="Times New Roman" w:hAnsi="Times New Roman" w:cs="Times New Roman"/>
          <w:sz w:val="24"/>
          <w:szCs w:val="24"/>
        </w:rPr>
        <w:t>ntelektualni rezultati</w:t>
      </w:r>
    </w:p>
    <w:p w:rsidR="00B26960" w:rsidRPr="00715B7C" w:rsidRDefault="00B26960" w:rsidP="00715B7C">
      <w:pPr>
        <w:pStyle w:val="ListParagraph"/>
        <w:numPr>
          <w:ilvl w:val="1"/>
          <w:numId w:val="77"/>
        </w:numPr>
        <w:ind w:left="1800" w:firstLine="0"/>
        <w:jc w:val="both"/>
        <w:rPr>
          <w:rFonts w:ascii="Times New Roman" w:hAnsi="Times New Roman" w:cs="Times New Roman"/>
          <w:kern w:val="1"/>
          <w:sz w:val="24"/>
          <w:szCs w:val="24"/>
          <w:shd w:val="clear" w:color="auto" w:fill="00FFFF"/>
        </w:rPr>
      </w:pPr>
      <w:r w:rsidRPr="00715B7C">
        <w:rPr>
          <w:rFonts w:ascii="Times New Roman" w:hAnsi="Times New Roman" w:cs="Times New Roman"/>
          <w:sz w:val="24"/>
          <w:szCs w:val="24"/>
        </w:rPr>
        <w:t>samo za str</w:t>
      </w:r>
      <w:r w:rsidR="00F94DA4" w:rsidRPr="00715B7C">
        <w:rPr>
          <w:rFonts w:ascii="Times New Roman" w:hAnsi="Times New Roman" w:cs="Times New Roman"/>
          <w:sz w:val="24"/>
          <w:szCs w:val="24"/>
        </w:rPr>
        <w:t xml:space="preserve">ateška partnerstva za inovacije: </w:t>
      </w:r>
      <w:r w:rsidRPr="00715B7C">
        <w:rPr>
          <w:rFonts w:ascii="Times New Roman" w:hAnsi="Times New Roman" w:cs="Times New Roman"/>
          <w:sz w:val="24"/>
          <w:szCs w:val="24"/>
        </w:rPr>
        <w:t>multiplikativni dogodki</w:t>
      </w:r>
    </w:p>
    <w:p w:rsidR="00B26960" w:rsidRPr="00F70C1D" w:rsidRDefault="00B26960">
      <w:pPr>
        <w:pStyle w:val="ListParagraph"/>
        <w:numPr>
          <w:ilvl w:val="1"/>
          <w:numId w:val="77"/>
        </w:numPr>
        <w:ind w:left="1800" w:firstLine="0"/>
        <w:jc w:val="both"/>
        <w:rPr>
          <w:rFonts w:ascii="Times New Roman" w:hAnsi="Times New Roman" w:cs="Times New Roman"/>
          <w:kern w:val="1"/>
          <w:sz w:val="24"/>
          <w:szCs w:val="24"/>
        </w:rPr>
      </w:pPr>
      <w:r>
        <w:rPr>
          <w:rFonts w:ascii="Times New Roman" w:hAnsi="Times New Roman"/>
          <w:sz w:val="24"/>
          <w:szCs w:val="24"/>
        </w:rPr>
        <w:t xml:space="preserve">pot </w:t>
      </w:r>
    </w:p>
    <w:p w:rsidR="00B26960" w:rsidRPr="00B203B5" w:rsidRDefault="00B26960">
      <w:pPr>
        <w:pStyle w:val="ListParagraph"/>
        <w:numPr>
          <w:ilvl w:val="1"/>
          <w:numId w:val="77"/>
        </w:numPr>
        <w:ind w:left="1800" w:firstLine="0"/>
        <w:jc w:val="both"/>
        <w:rPr>
          <w:rFonts w:ascii="Times New Roman" w:hAnsi="Times New Roman" w:cs="Times New Roman"/>
          <w:kern w:val="1"/>
          <w:sz w:val="24"/>
          <w:szCs w:val="24"/>
        </w:rPr>
      </w:pPr>
      <w:r>
        <w:rPr>
          <w:rFonts w:ascii="Times New Roman" w:hAnsi="Times New Roman"/>
          <w:sz w:val="24"/>
          <w:szCs w:val="24"/>
        </w:rPr>
        <w:t>individualna podpora</w:t>
      </w:r>
    </w:p>
    <w:p w:rsidR="00B26960" w:rsidRPr="00B203B5" w:rsidRDefault="00B26960">
      <w:pPr>
        <w:pStyle w:val="ListParagraph"/>
        <w:numPr>
          <w:ilvl w:val="1"/>
          <w:numId w:val="77"/>
        </w:numPr>
        <w:ind w:left="1800" w:firstLine="0"/>
        <w:jc w:val="both"/>
        <w:rPr>
          <w:rFonts w:ascii="Times New Roman" w:hAnsi="Times New Roman" w:cs="Times New Roman"/>
          <w:kern w:val="1"/>
          <w:sz w:val="24"/>
          <w:szCs w:val="24"/>
        </w:rPr>
      </w:pPr>
      <w:r>
        <w:rPr>
          <w:rFonts w:ascii="Times New Roman" w:hAnsi="Times New Roman"/>
          <w:sz w:val="24"/>
          <w:szCs w:val="24"/>
        </w:rPr>
        <w:t>jezikovna podpora</w:t>
      </w:r>
    </w:p>
    <w:p w:rsidR="00B26960" w:rsidRPr="00B203B5" w:rsidRDefault="00B26960">
      <w:pPr>
        <w:pStyle w:val="ListParagraph"/>
        <w:ind w:left="1080"/>
        <w:jc w:val="both"/>
        <w:rPr>
          <w:rFonts w:ascii="Times New Roman" w:hAnsi="Times New Roman" w:cs="Times New Roman"/>
          <w:kern w:val="1"/>
          <w:sz w:val="24"/>
          <w:szCs w:val="24"/>
        </w:rPr>
      </w:pPr>
    </w:p>
    <w:p w:rsidR="00B26960" w:rsidRPr="00A819F8" w:rsidRDefault="00B26960" w:rsidP="00C74462">
      <w:pPr>
        <w:pStyle w:val="ListParagraph"/>
        <w:numPr>
          <w:ilvl w:val="0"/>
          <w:numId w:val="77"/>
        </w:numPr>
        <w:ind w:left="1080" w:firstLine="54"/>
        <w:jc w:val="both"/>
        <w:rPr>
          <w:rFonts w:ascii="Times New Roman" w:hAnsi="Times New Roman" w:cs="Times New Roman"/>
          <w:kern w:val="1"/>
          <w:sz w:val="24"/>
          <w:szCs w:val="24"/>
        </w:rPr>
      </w:pPr>
      <w:r>
        <w:rPr>
          <w:rFonts w:ascii="Times New Roman" w:hAnsi="Times New Roman"/>
          <w:sz w:val="24"/>
          <w:szCs w:val="24"/>
        </w:rPr>
        <w:t>Dejansko nastali stroški za proračunsko kategorijo:</w:t>
      </w:r>
    </w:p>
    <w:p w:rsidR="00B26960" w:rsidRPr="00A819F8" w:rsidRDefault="00B26960">
      <w:pPr>
        <w:pStyle w:val="ListParagraph"/>
        <w:numPr>
          <w:ilvl w:val="1"/>
          <w:numId w:val="77"/>
        </w:numPr>
        <w:ind w:left="1800" w:firstLine="0"/>
        <w:jc w:val="both"/>
        <w:rPr>
          <w:rFonts w:ascii="Times New Roman" w:hAnsi="Times New Roman" w:cs="Times New Roman"/>
          <w:kern w:val="1"/>
          <w:sz w:val="24"/>
          <w:szCs w:val="24"/>
        </w:rPr>
      </w:pPr>
      <w:r>
        <w:rPr>
          <w:rFonts w:ascii="Times New Roman" w:hAnsi="Times New Roman"/>
          <w:sz w:val="24"/>
          <w:szCs w:val="24"/>
        </w:rPr>
        <w:t xml:space="preserve"> podpora za posebne potrebe</w:t>
      </w:r>
    </w:p>
    <w:p w:rsidR="00B26960" w:rsidRPr="00A819F8" w:rsidRDefault="00B26960">
      <w:pPr>
        <w:pStyle w:val="ListParagraph"/>
        <w:ind w:left="1080"/>
        <w:jc w:val="both"/>
        <w:rPr>
          <w:rFonts w:ascii="Times New Roman" w:hAnsi="Times New Roman" w:cs="Times New Roman"/>
          <w:kern w:val="1"/>
          <w:sz w:val="24"/>
          <w:szCs w:val="24"/>
        </w:rPr>
      </w:pPr>
    </w:p>
    <w:p w:rsidR="00B26960" w:rsidRPr="003A408D" w:rsidRDefault="00B26960" w:rsidP="00C74462">
      <w:pPr>
        <w:pStyle w:val="ListParagraph"/>
        <w:numPr>
          <w:ilvl w:val="0"/>
          <w:numId w:val="77"/>
        </w:numPr>
        <w:ind w:left="1418" w:hanging="284"/>
        <w:jc w:val="both"/>
        <w:rPr>
          <w:rFonts w:ascii="Times New Roman" w:hAnsi="Times New Roman" w:cs="Times New Roman"/>
          <w:kern w:val="1"/>
          <w:sz w:val="24"/>
          <w:szCs w:val="24"/>
        </w:rPr>
      </w:pPr>
      <w:r>
        <w:rPr>
          <w:rFonts w:ascii="Times New Roman" w:hAnsi="Times New Roman"/>
          <w:sz w:val="24"/>
          <w:szCs w:val="24"/>
        </w:rPr>
        <w:t>Dejansko nastali prispevki in dokazila iz oddelka II te priloge za proračunsko kategorijo:</w:t>
      </w:r>
    </w:p>
    <w:p w:rsidR="00FD2A1C" w:rsidRPr="008637E8" w:rsidRDefault="00B26960" w:rsidP="00F32957">
      <w:pPr>
        <w:pStyle w:val="ListParagraph"/>
        <w:numPr>
          <w:ilvl w:val="1"/>
          <w:numId w:val="77"/>
        </w:numPr>
        <w:ind w:left="1800" w:firstLine="0"/>
        <w:jc w:val="both"/>
        <w:rPr>
          <w:rFonts w:ascii="Times New Roman" w:hAnsi="Times New Roman" w:cs="Times New Roman"/>
          <w:kern w:val="1"/>
          <w:sz w:val="24"/>
          <w:szCs w:val="24"/>
        </w:rPr>
      </w:pPr>
      <w:r>
        <w:rPr>
          <w:rFonts w:ascii="Times New Roman" w:hAnsi="Times New Roman"/>
          <w:sz w:val="24"/>
          <w:szCs w:val="24"/>
        </w:rPr>
        <w:lastRenderedPageBreak/>
        <w:t>izredni stroški</w:t>
      </w:r>
    </w:p>
    <w:p w:rsidR="00B26960" w:rsidRPr="003A408D" w:rsidRDefault="00B26960">
      <w:pPr>
        <w:pStyle w:val="ListParagraph"/>
        <w:ind w:left="1800"/>
        <w:jc w:val="both"/>
        <w:rPr>
          <w:rFonts w:ascii="Times New Roman" w:hAnsi="Times New Roman" w:cs="Times New Roman"/>
          <w:kern w:val="1"/>
          <w:sz w:val="24"/>
          <w:szCs w:val="24"/>
        </w:rPr>
      </w:pPr>
    </w:p>
    <w:p w:rsidR="00E41660" w:rsidRPr="00E41660" w:rsidRDefault="00B26960" w:rsidP="00CB3B20">
      <w:pPr>
        <w:numPr>
          <w:ilvl w:val="0"/>
          <w:numId w:val="165"/>
        </w:numPr>
        <w:spacing w:after="0" w:line="240" w:lineRule="auto"/>
        <w:jc w:val="both"/>
        <w:rPr>
          <w:rFonts w:ascii="Times New Roman" w:hAnsi="Times New Roman"/>
          <w:kern w:val="1"/>
          <w:sz w:val="24"/>
          <w:szCs w:val="24"/>
        </w:rPr>
      </w:pPr>
      <w:r>
        <w:rPr>
          <w:rFonts w:ascii="Times New Roman" w:hAnsi="Times New Roman"/>
          <w:sz w:val="24"/>
          <w:szCs w:val="24"/>
        </w:rPr>
        <w:t xml:space="preserve">Rezultati projekta, ki se naložijo na platformo Erasmus+ za rezultate projektov.  </w:t>
      </w:r>
    </w:p>
    <w:p w:rsidR="00CB3B20" w:rsidRDefault="00CB3B20" w:rsidP="00E41660">
      <w:pPr>
        <w:spacing w:after="0" w:line="240" w:lineRule="auto"/>
        <w:jc w:val="both"/>
        <w:rPr>
          <w:rFonts w:ascii="Times New Roman" w:hAnsi="Times New Roman"/>
          <w:kern w:val="1"/>
          <w:sz w:val="24"/>
          <w:szCs w:val="24"/>
        </w:rPr>
      </w:pPr>
    </w:p>
    <w:p w:rsidR="00B26960" w:rsidRPr="00780C6B" w:rsidRDefault="00B26960" w:rsidP="00C74462">
      <w:pPr>
        <w:pStyle w:val="ListParagraph"/>
        <w:numPr>
          <w:ilvl w:val="0"/>
          <w:numId w:val="79"/>
        </w:numPr>
        <w:ind w:left="426" w:hanging="426"/>
        <w:jc w:val="both"/>
        <w:rPr>
          <w:rFonts w:ascii="Times New Roman" w:hAnsi="Times New Roman" w:cs="Times New Roman"/>
          <w:b/>
          <w:kern w:val="1"/>
          <w:sz w:val="24"/>
          <w:szCs w:val="24"/>
        </w:rPr>
      </w:pPr>
      <w:r>
        <w:rPr>
          <w:rFonts w:ascii="Times New Roman" w:hAnsi="Times New Roman"/>
          <w:b/>
          <w:sz w:val="24"/>
          <w:szCs w:val="24"/>
        </w:rPr>
        <w:t>Preverjanje dokumentacije</w:t>
      </w:r>
    </w:p>
    <w:p w:rsidR="00B26960" w:rsidRPr="00780C6B" w:rsidRDefault="00B26960">
      <w:pPr>
        <w:pStyle w:val="ListParagraph"/>
        <w:jc w:val="both"/>
        <w:rPr>
          <w:rFonts w:ascii="Times New Roman" w:hAnsi="Times New Roman" w:cs="Times New Roman"/>
          <w:b/>
          <w:kern w:val="1"/>
          <w:sz w:val="24"/>
          <w:szCs w:val="24"/>
        </w:rPr>
      </w:pPr>
    </w:p>
    <w:p w:rsidR="00B26960" w:rsidRPr="00780C6B" w:rsidRDefault="00B26960">
      <w:pPr>
        <w:ind w:left="360"/>
        <w:jc w:val="both"/>
        <w:rPr>
          <w:rFonts w:ascii="Times New Roman" w:eastAsia="SimSun" w:hAnsi="Times New Roman"/>
          <w:kern w:val="1"/>
          <w:sz w:val="24"/>
          <w:szCs w:val="24"/>
        </w:rPr>
      </w:pPr>
      <w:r>
        <w:rPr>
          <w:rFonts w:ascii="Times New Roman" w:hAnsi="Times New Roman"/>
          <w:sz w:val="24"/>
          <w:szCs w:val="24"/>
        </w:rPr>
        <w:t xml:space="preserve">Preverjanje dokumentacije je poglobljeno preverjanje dokazil v prostorih nacionalne agencije, ki se lahko izvede v fazi končnega poročanja ali po njej. </w:t>
      </w:r>
    </w:p>
    <w:p w:rsidR="00B26960" w:rsidRPr="004D5CB2" w:rsidRDefault="00B26960">
      <w:pPr>
        <w:ind w:left="360"/>
        <w:jc w:val="both"/>
        <w:rPr>
          <w:rFonts w:ascii="Times New Roman" w:hAnsi="Times New Roman"/>
          <w:b/>
          <w:kern w:val="1"/>
          <w:sz w:val="24"/>
          <w:szCs w:val="24"/>
        </w:rPr>
      </w:pPr>
      <w:r>
        <w:rPr>
          <w:rFonts w:ascii="Times New Roman" w:hAnsi="Times New Roman"/>
          <w:sz w:val="24"/>
          <w:szCs w:val="24"/>
        </w:rPr>
        <w:t>Koordinator mora na zahtevo nacionalni agenciji predložiti dokazila za vse proračunske kategorije.</w:t>
      </w:r>
    </w:p>
    <w:p w:rsidR="00B26960" w:rsidRPr="001F5BC9" w:rsidRDefault="00B26960" w:rsidP="00C74462">
      <w:pPr>
        <w:pStyle w:val="ListParagraph"/>
        <w:numPr>
          <w:ilvl w:val="0"/>
          <w:numId w:val="79"/>
        </w:numPr>
        <w:ind w:left="426" w:hanging="426"/>
        <w:jc w:val="both"/>
        <w:rPr>
          <w:rFonts w:ascii="Times New Roman" w:hAnsi="Times New Roman" w:cs="Times New Roman"/>
          <w:b/>
          <w:kern w:val="1"/>
          <w:sz w:val="24"/>
          <w:szCs w:val="24"/>
        </w:rPr>
      </w:pPr>
      <w:r>
        <w:rPr>
          <w:rFonts w:ascii="Times New Roman" w:hAnsi="Times New Roman"/>
          <w:b/>
          <w:sz w:val="24"/>
          <w:szCs w:val="24"/>
        </w:rPr>
        <w:t>Pregledi na kraju samem</w:t>
      </w:r>
    </w:p>
    <w:p w:rsidR="00B26960" w:rsidRPr="001A6DB7" w:rsidRDefault="00B26960">
      <w:pPr>
        <w:pStyle w:val="ListParagraph"/>
        <w:jc w:val="both"/>
        <w:rPr>
          <w:rFonts w:ascii="Times New Roman" w:hAnsi="Times New Roman" w:cs="Times New Roman"/>
          <w:b/>
          <w:kern w:val="1"/>
          <w:sz w:val="24"/>
          <w:szCs w:val="24"/>
        </w:rPr>
      </w:pPr>
    </w:p>
    <w:p w:rsidR="00B26960" w:rsidRPr="001F5BC9" w:rsidRDefault="00B26960" w:rsidP="00C74462">
      <w:pPr>
        <w:ind w:left="426"/>
        <w:jc w:val="both"/>
        <w:rPr>
          <w:rFonts w:ascii="Times New Roman" w:hAnsi="Times New Roman"/>
          <w:sz w:val="24"/>
          <w:szCs w:val="24"/>
        </w:rPr>
      </w:pPr>
      <w:r>
        <w:rPr>
          <w:rFonts w:ascii="Times New Roman" w:hAnsi="Times New Roman"/>
          <w:sz w:val="24"/>
          <w:szCs w:val="24"/>
        </w:rPr>
        <w:t>Preglede na kraju samem izvede nacionalna agencija v prostorih upravičencev ali drugih prostorih, relevantnih za izvajanje projekta. Upravičenci morajo med temi pregledi nacionalni agenciji dati na voljo za pregled izvirnike dokazil, kot je določeno za preverjanja končnega poročila in dokumentacije.</w:t>
      </w:r>
    </w:p>
    <w:p w:rsidR="00B26960" w:rsidRPr="001A6DB7" w:rsidRDefault="00B26960" w:rsidP="00C74462">
      <w:pPr>
        <w:ind w:left="426"/>
        <w:jc w:val="both"/>
        <w:rPr>
          <w:rFonts w:ascii="Times New Roman" w:eastAsia="SimSun" w:hAnsi="Times New Roman"/>
          <w:b/>
          <w:i/>
          <w:kern w:val="1"/>
          <w:sz w:val="24"/>
          <w:szCs w:val="24"/>
        </w:rPr>
      </w:pPr>
      <w:r>
        <w:rPr>
          <w:rFonts w:ascii="Times New Roman" w:hAnsi="Times New Roman"/>
          <w:sz w:val="24"/>
          <w:szCs w:val="24"/>
        </w:rPr>
        <w:t>Izvedeta se lahko dve vrsti pregledov na kraju samem.</w:t>
      </w:r>
    </w:p>
    <w:p w:rsidR="00B26960" w:rsidRPr="001A6DB7" w:rsidRDefault="00B26960" w:rsidP="00C74462">
      <w:pPr>
        <w:numPr>
          <w:ilvl w:val="0"/>
          <w:numId w:val="160"/>
        </w:numPr>
        <w:tabs>
          <w:tab w:val="left" w:pos="851"/>
        </w:tabs>
        <w:ind w:left="851" w:hanging="284"/>
        <w:jc w:val="both"/>
        <w:rPr>
          <w:rFonts w:ascii="Times New Roman" w:hAnsi="Times New Roman"/>
          <w:sz w:val="24"/>
          <w:szCs w:val="24"/>
        </w:rPr>
      </w:pPr>
      <w:r>
        <w:rPr>
          <w:rFonts w:ascii="Times New Roman" w:hAnsi="Times New Roman"/>
          <w:b/>
          <w:i/>
          <w:sz w:val="24"/>
          <w:szCs w:val="24"/>
        </w:rPr>
        <w:t>Pregled na kraju samem med izvajanjem projekta</w:t>
      </w:r>
    </w:p>
    <w:p w:rsidR="00B26960" w:rsidRPr="00F70C1D" w:rsidRDefault="00B26960" w:rsidP="00C74462">
      <w:pPr>
        <w:ind w:left="851"/>
        <w:jc w:val="both"/>
        <w:rPr>
          <w:rFonts w:ascii="Times New Roman" w:eastAsia="SimSun" w:hAnsi="Times New Roman"/>
          <w:b/>
          <w:i/>
          <w:kern w:val="1"/>
          <w:sz w:val="24"/>
          <w:szCs w:val="24"/>
        </w:rPr>
      </w:pPr>
      <w:r>
        <w:rPr>
          <w:rFonts w:ascii="Times New Roman" w:hAnsi="Times New Roman"/>
          <w:sz w:val="24"/>
          <w:szCs w:val="24"/>
        </w:rPr>
        <w:t>Ta pregled se izvede med izvajanjem projekta, da lahko nacionalna agencija neposredno preveri dejansko izvedbo in upravičenost vseh aktivnosti in udeležencev projekta.</w:t>
      </w:r>
    </w:p>
    <w:p w:rsidR="00B26960" w:rsidRPr="00F70C1D" w:rsidRDefault="00B26960" w:rsidP="00C74462">
      <w:pPr>
        <w:numPr>
          <w:ilvl w:val="0"/>
          <w:numId w:val="160"/>
        </w:numPr>
        <w:tabs>
          <w:tab w:val="left" w:pos="851"/>
        </w:tabs>
        <w:ind w:left="851" w:hanging="284"/>
        <w:jc w:val="both"/>
        <w:rPr>
          <w:rFonts w:ascii="Times New Roman" w:hAnsi="Times New Roman"/>
          <w:sz w:val="24"/>
          <w:szCs w:val="24"/>
        </w:rPr>
      </w:pPr>
      <w:r>
        <w:rPr>
          <w:rFonts w:ascii="Times New Roman" w:hAnsi="Times New Roman"/>
          <w:b/>
          <w:i/>
          <w:sz w:val="24"/>
          <w:szCs w:val="24"/>
        </w:rPr>
        <w:t>Pregled na kraju samem po zaključku projekta</w:t>
      </w:r>
    </w:p>
    <w:p w:rsidR="00B26960" w:rsidRPr="00F70C1D" w:rsidRDefault="00B26960" w:rsidP="00C74462">
      <w:pPr>
        <w:ind w:left="851"/>
        <w:jc w:val="both"/>
        <w:rPr>
          <w:rFonts w:ascii="Times New Roman" w:eastAsia="SimSun" w:hAnsi="Times New Roman"/>
          <w:kern w:val="1"/>
          <w:sz w:val="24"/>
          <w:szCs w:val="24"/>
        </w:rPr>
      </w:pPr>
      <w:r>
        <w:rPr>
          <w:rFonts w:ascii="Times New Roman" w:hAnsi="Times New Roman"/>
          <w:sz w:val="24"/>
          <w:szCs w:val="24"/>
        </w:rPr>
        <w:t>Ta pregled se izvede po koncu projekta in običajno po preverjanju končnega poročila.</w:t>
      </w:r>
    </w:p>
    <w:p w:rsidR="00B26960" w:rsidRPr="00C74462" w:rsidRDefault="00B26960" w:rsidP="007241C3">
      <w:pPr>
        <w:ind w:left="567"/>
        <w:jc w:val="both"/>
        <w:rPr>
          <w:rFonts w:ascii="Times New Roman" w:hAnsi="Times New Roman"/>
        </w:rPr>
      </w:pPr>
      <w:r>
        <w:rPr>
          <w:rFonts w:ascii="Times New Roman" w:hAnsi="Times New Roman"/>
          <w:sz w:val="24"/>
          <w:szCs w:val="24"/>
        </w:rPr>
        <w:t>Upravičenci morajo nacionalni agenciji poleg vseh dokazil zagotoviti tudi dostop do evidenc stroškov projekta v svojih računovodskih izkazih.</w:t>
      </w:r>
    </w:p>
    <w:sectPr w:rsidR="00B26960" w:rsidRPr="00C74462">
      <w:footerReference w:type="default" r:id="rId13"/>
      <w:pgSz w:w="12240" w:h="15840"/>
      <w:pgMar w:top="1440" w:right="1800" w:bottom="1440" w:left="1800" w:header="720" w:footer="720" w:gutter="0"/>
      <w:cols w:space="72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A82" w:rsidRDefault="00091A82">
      <w:pPr>
        <w:spacing w:after="0" w:line="240" w:lineRule="auto"/>
      </w:pPr>
      <w:r>
        <w:separator/>
      </w:r>
    </w:p>
  </w:endnote>
  <w:endnote w:type="continuationSeparator" w:id="0">
    <w:p w:rsidR="00091A82" w:rsidRDefault="00091A82">
      <w:pPr>
        <w:spacing w:after="0" w:line="240" w:lineRule="auto"/>
      </w:pPr>
      <w:r>
        <w:continuationSeparator/>
      </w:r>
    </w:p>
  </w:endnote>
  <w:endnote w:type="continuationNotice" w:id="1">
    <w:p w:rsidR="00091A82" w:rsidRDefault="00091A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font246">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99D" w:rsidRDefault="00E8499D">
    <w:pPr>
      <w:pStyle w:val="Footer"/>
      <w:jc w:val="right"/>
    </w:pPr>
    <w:r>
      <w:fldChar w:fldCharType="begin"/>
    </w:r>
    <w:r>
      <w:instrText xml:space="preserve"> PAGE   \* MERGEFORMAT </w:instrText>
    </w:r>
    <w:r>
      <w:fldChar w:fldCharType="separate"/>
    </w:r>
    <w:r w:rsidR="00715B7C">
      <w:rPr>
        <w:noProof/>
      </w:rPr>
      <w:t>11</w:t>
    </w:r>
    <w:r>
      <w:fldChar w:fldCharType="end"/>
    </w:r>
  </w:p>
  <w:p w:rsidR="00E8499D" w:rsidRDefault="00E8499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A82" w:rsidRDefault="00091A82">
      <w:pPr>
        <w:spacing w:after="0" w:line="240" w:lineRule="auto"/>
      </w:pPr>
      <w:r>
        <w:separator/>
      </w:r>
    </w:p>
  </w:footnote>
  <w:footnote w:type="continuationSeparator" w:id="0">
    <w:p w:rsidR="00091A82" w:rsidRDefault="00091A82">
      <w:pPr>
        <w:spacing w:after="0" w:line="240" w:lineRule="auto"/>
      </w:pPr>
      <w:r>
        <w:continuationSeparator/>
      </w:r>
    </w:p>
  </w:footnote>
  <w:footnote w:type="continuationNotice" w:id="1">
    <w:p w:rsidR="00091A82" w:rsidRDefault="00091A82">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Heading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00000009"/>
    <w:name w:val="WWNum8"/>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Num10"/>
    <w:lvl w:ilvl="0">
      <w:start w:val="1"/>
      <w:numFmt w:val="upperLetter"/>
      <w:lvlText w:val="%1."/>
      <w:lvlJc w:val="left"/>
      <w:pPr>
        <w:tabs>
          <w:tab w:val="num" w:pos="0"/>
        </w:tabs>
        <w:ind w:left="644" w:hanging="360"/>
      </w:pPr>
    </w:lvl>
    <w:lvl w:ilvl="1">
      <w:start w:val="1"/>
      <w:numFmt w:val="lowerLetter"/>
      <w:lvlText w:val="%2.1"/>
      <w:lvlJc w:val="left"/>
      <w:pPr>
        <w:tabs>
          <w:tab w:val="num" w:pos="0"/>
        </w:tabs>
        <w:ind w:left="1724" w:hanging="72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11" w15:restartNumberingAfterBreak="0">
    <w:nsid w:val="0000000C"/>
    <w:multiLevelType w:val="multilevel"/>
    <w:tmpl w:val="0000000C"/>
    <w:name w:val="WWNum1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D"/>
    <w:multiLevelType w:val="multilevel"/>
    <w:tmpl w:val="0000000D"/>
    <w:name w:val="WWNum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0000000E"/>
    <w:name w:val="WWNum1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644AF99A"/>
    <w:name w:val="WWNum14"/>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0"/>
    <w:multiLevelType w:val="multilevel"/>
    <w:tmpl w:val="00000010"/>
    <w:name w:val="WWNum1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name w:val="WWNum1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19"/>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6"/>
    <w:multiLevelType w:val="multilevel"/>
    <w:tmpl w:val="00000016"/>
    <w:name w:val="WWNum2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00000017"/>
    <w:name w:val="WWNum2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8"/>
    <w:multiLevelType w:val="multilevel"/>
    <w:tmpl w:val="57AE18DE"/>
    <w:name w:val="WWNum23"/>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2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2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00001D"/>
    <w:name w:val="WWNum28"/>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E"/>
    <w:multiLevelType w:val="multilevel"/>
    <w:tmpl w:val="0000001E"/>
    <w:name w:val="WWNum2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0" w15:restartNumberingAfterBreak="0">
    <w:nsid w:val="0000001F"/>
    <w:multiLevelType w:val="multilevel"/>
    <w:tmpl w:val="0000001F"/>
    <w:name w:val="WWNum3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1" w15:restartNumberingAfterBreak="0">
    <w:nsid w:val="00000020"/>
    <w:multiLevelType w:val="multilevel"/>
    <w:tmpl w:val="00000020"/>
    <w:name w:val="WWNum31"/>
    <w:lvl w:ilvl="0">
      <w:start w:val="1"/>
      <w:numFmt w:val="lowerRoman"/>
      <w:lvlText w:val="(%1)"/>
      <w:lvlJc w:val="left"/>
      <w:pPr>
        <w:tabs>
          <w:tab w:val="num" w:pos="0"/>
        </w:tabs>
        <w:ind w:left="2749" w:hanging="360"/>
      </w:p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32" w15:restartNumberingAfterBreak="0">
    <w:nsid w:val="00000021"/>
    <w:multiLevelType w:val="multilevel"/>
    <w:tmpl w:val="00000021"/>
    <w:name w:val="WWNum32"/>
    <w:lvl w:ilvl="0">
      <w:start w:val="1"/>
      <w:numFmt w:val="bullet"/>
      <w:lvlText w:val="-"/>
      <w:lvlJc w:val="left"/>
      <w:pPr>
        <w:tabs>
          <w:tab w:val="num" w:pos="917"/>
        </w:tabs>
        <w:ind w:left="1637" w:hanging="360"/>
      </w:pPr>
      <w:rPr>
        <w:rFonts w:ascii="Calibri" w:hAnsi="Calibri" w:cs="Calibri"/>
      </w:rPr>
    </w:lvl>
    <w:lvl w:ilvl="1">
      <w:start w:val="1"/>
      <w:numFmt w:val="bullet"/>
      <w:lvlText w:val="o"/>
      <w:lvlJc w:val="left"/>
      <w:pPr>
        <w:tabs>
          <w:tab w:val="num" w:pos="917"/>
        </w:tabs>
        <w:ind w:left="2357" w:hanging="360"/>
      </w:pPr>
      <w:rPr>
        <w:rFonts w:ascii="Courier New" w:hAnsi="Courier New" w:cs="Courier New"/>
      </w:rPr>
    </w:lvl>
    <w:lvl w:ilvl="2">
      <w:start w:val="1"/>
      <w:numFmt w:val="bullet"/>
      <w:lvlText w:val=""/>
      <w:lvlJc w:val="left"/>
      <w:pPr>
        <w:tabs>
          <w:tab w:val="num" w:pos="917"/>
        </w:tabs>
        <w:ind w:left="3077" w:hanging="360"/>
      </w:pPr>
      <w:rPr>
        <w:rFonts w:ascii="Wingdings" w:hAnsi="Wingdings"/>
      </w:rPr>
    </w:lvl>
    <w:lvl w:ilvl="3">
      <w:start w:val="1"/>
      <w:numFmt w:val="bullet"/>
      <w:lvlText w:val=""/>
      <w:lvlJc w:val="left"/>
      <w:pPr>
        <w:tabs>
          <w:tab w:val="num" w:pos="917"/>
        </w:tabs>
        <w:ind w:left="3797" w:hanging="360"/>
      </w:pPr>
      <w:rPr>
        <w:rFonts w:ascii="Symbol" w:hAnsi="Symbol"/>
      </w:rPr>
    </w:lvl>
    <w:lvl w:ilvl="4">
      <w:start w:val="1"/>
      <w:numFmt w:val="bullet"/>
      <w:lvlText w:val="o"/>
      <w:lvlJc w:val="left"/>
      <w:pPr>
        <w:tabs>
          <w:tab w:val="num" w:pos="917"/>
        </w:tabs>
        <w:ind w:left="4517" w:hanging="360"/>
      </w:pPr>
      <w:rPr>
        <w:rFonts w:ascii="Courier New" w:hAnsi="Courier New" w:cs="Courier New"/>
      </w:rPr>
    </w:lvl>
    <w:lvl w:ilvl="5">
      <w:start w:val="1"/>
      <w:numFmt w:val="bullet"/>
      <w:lvlText w:val=""/>
      <w:lvlJc w:val="left"/>
      <w:pPr>
        <w:tabs>
          <w:tab w:val="num" w:pos="917"/>
        </w:tabs>
        <w:ind w:left="5237" w:hanging="360"/>
      </w:pPr>
      <w:rPr>
        <w:rFonts w:ascii="Wingdings" w:hAnsi="Wingdings"/>
      </w:rPr>
    </w:lvl>
    <w:lvl w:ilvl="6">
      <w:start w:val="1"/>
      <w:numFmt w:val="bullet"/>
      <w:lvlText w:val=""/>
      <w:lvlJc w:val="left"/>
      <w:pPr>
        <w:tabs>
          <w:tab w:val="num" w:pos="917"/>
        </w:tabs>
        <w:ind w:left="5957" w:hanging="360"/>
      </w:pPr>
      <w:rPr>
        <w:rFonts w:ascii="Symbol" w:hAnsi="Symbol"/>
      </w:rPr>
    </w:lvl>
    <w:lvl w:ilvl="7">
      <w:start w:val="1"/>
      <w:numFmt w:val="bullet"/>
      <w:lvlText w:val="o"/>
      <w:lvlJc w:val="left"/>
      <w:pPr>
        <w:tabs>
          <w:tab w:val="num" w:pos="917"/>
        </w:tabs>
        <w:ind w:left="6677" w:hanging="360"/>
      </w:pPr>
      <w:rPr>
        <w:rFonts w:ascii="Courier New" w:hAnsi="Courier New" w:cs="Courier New"/>
      </w:rPr>
    </w:lvl>
    <w:lvl w:ilvl="8">
      <w:start w:val="1"/>
      <w:numFmt w:val="bullet"/>
      <w:lvlText w:val=""/>
      <w:lvlJc w:val="left"/>
      <w:pPr>
        <w:tabs>
          <w:tab w:val="num" w:pos="917"/>
        </w:tabs>
        <w:ind w:left="7397" w:hanging="360"/>
      </w:pPr>
      <w:rPr>
        <w:rFonts w:ascii="Wingdings" w:hAnsi="Wingdings"/>
      </w:rPr>
    </w:lvl>
  </w:abstractNum>
  <w:abstractNum w:abstractNumId="33" w15:restartNumberingAfterBreak="0">
    <w:nsid w:val="00000022"/>
    <w:multiLevelType w:val="multilevel"/>
    <w:tmpl w:val="00000022"/>
    <w:name w:val="WWNum3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4"/>
    <w:multiLevelType w:val="multilevel"/>
    <w:tmpl w:val="00000024"/>
    <w:name w:val="WWNum3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6" w15:restartNumberingAfterBreak="0">
    <w:nsid w:val="00000025"/>
    <w:multiLevelType w:val="multilevel"/>
    <w:tmpl w:val="00000025"/>
    <w:name w:val="WWNum3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6"/>
    <w:multiLevelType w:val="multilevel"/>
    <w:tmpl w:val="00000026"/>
    <w:name w:val="WWNum37"/>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7"/>
    <w:multiLevelType w:val="multilevel"/>
    <w:tmpl w:val="00000027"/>
    <w:name w:val="WWNum38"/>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9" w15:restartNumberingAfterBreak="0">
    <w:nsid w:val="00000028"/>
    <w:multiLevelType w:val="multilevel"/>
    <w:tmpl w:val="00000028"/>
    <w:name w:val="WWNum39"/>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9"/>
    <w:multiLevelType w:val="multilevel"/>
    <w:tmpl w:val="00000029"/>
    <w:name w:val="WWNum40"/>
    <w:lvl w:ilvl="0">
      <w:start w:val="1"/>
      <w:numFmt w:val="upperLetter"/>
      <w:lvlText w:val="%1."/>
      <w:lvlJc w:val="left"/>
      <w:pPr>
        <w:tabs>
          <w:tab w:val="num" w:pos="208"/>
        </w:tabs>
        <w:ind w:left="928" w:hanging="360"/>
      </w:pPr>
    </w:lvl>
    <w:lvl w:ilvl="1">
      <w:start w:val="1"/>
      <w:numFmt w:val="lowerLetter"/>
      <w:lvlText w:val="%2."/>
      <w:lvlJc w:val="left"/>
      <w:pPr>
        <w:tabs>
          <w:tab w:val="num" w:pos="208"/>
        </w:tabs>
        <w:ind w:left="1648" w:hanging="360"/>
      </w:pPr>
    </w:lvl>
    <w:lvl w:ilvl="2">
      <w:start w:val="1"/>
      <w:numFmt w:val="lowerRoman"/>
      <w:lvlText w:val="%2.%3."/>
      <w:lvlJc w:val="right"/>
      <w:pPr>
        <w:tabs>
          <w:tab w:val="num" w:pos="208"/>
        </w:tabs>
        <w:ind w:left="2368" w:hanging="180"/>
      </w:pPr>
    </w:lvl>
    <w:lvl w:ilvl="3">
      <w:start w:val="1"/>
      <w:numFmt w:val="decimal"/>
      <w:lvlText w:val="%2.%3.%4."/>
      <w:lvlJc w:val="left"/>
      <w:pPr>
        <w:tabs>
          <w:tab w:val="num" w:pos="208"/>
        </w:tabs>
        <w:ind w:left="3088" w:hanging="360"/>
      </w:pPr>
    </w:lvl>
    <w:lvl w:ilvl="4">
      <w:start w:val="1"/>
      <w:numFmt w:val="lowerLetter"/>
      <w:lvlText w:val="%2.%3.%4.%5."/>
      <w:lvlJc w:val="left"/>
      <w:pPr>
        <w:tabs>
          <w:tab w:val="num" w:pos="208"/>
        </w:tabs>
        <w:ind w:left="3808" w:hanging="360"/>
      </w:pPr>
    </w:lvl>
    <w:lvl w:ilvl="5">
      <w:start w:val="1"/>
      <w:numFmt w:val="lowerRoman"/>
      <w:lvlText w:val="%2.%3.%4.%5.%6."/>
      <w:lvlJc w:val="right"/>
      <w:pPr>
        <w:tabs>
          <w:tab w:val="num" w:pos="208"/>
        </w:tabs>
        <w:ind w:left="4528" w:hanging="180"/>
      </w:pPr>
    </w:lvl>
    <w:lvl w:ilvl="6">
      <w:start w:val="1"/>
      <w:numFmt w:val="decimal"/>
      <w:lvlText w:val="%2.%3.%4.%5.%6.%7."/>
      <w:lvlJc w:val="left"/>
      <w:pPr>
        <w:tabs>
          <w:tab w:val="num" w:pos="208"/>
        </w:tabs>
        <w:ind w:left="5248" w:hanging="360"/>
      </w:pPr>
    </w:lvl>
    <w:lvl w:ilvl="7">
      <w:start w:val="1"/>
      <w:numFmt w:val="lowerLetter"/>
      <w:lvlText w:val="%2.%3.%4.%5.%6.%7.%8."/>
      <w:lvlJc w:val="left"/>
      <w:pPr>
        <w:tabs>
          <w:tab w:val="num" w:pos="208"/>
        </w:tabs>
        <w:ind w:left="5968" w:hanging="360"/>
      </w:pPr>
    </w:lvl>
    <w:lvl w:ilvl="8">
      <w:start w:val="1"/>
      <w:numFmt w:val="lowerRoman"/>
      <w:lvlText w:val="%2.%3.%4.%5.%6.%7.%8.%9."/>
      <w:lvlJc w:val="right"/>
      <w:pPr>
        <w:tabs>
          <w:tab w:val="num" w:pos="208"/>
        </w:tabs>
        <w:ind w:left="6688" w:hanging="180"/>
      </w:pPr>
    </w:lvl>
  </w:abstractNum>
  <w:abstractNum w:abstractNumId="41" w15:restartNumberingAfterBreak="0">
    <w:nsid w:val="0000002A"/>
    <w:multiLevelType w:val="multilevel"/>
    <w:tmpl w:val="0000002A"/>
    <w:name w:val="WWNum41"/>
    <w:lvl w:ilvl="0">
      <w:start w:val="1"/>
      <w:numFmt w:val="bullet"/>
      <w:lvlText w:val="-"/>
      <w:lvlJc w:val="left"/>
      <w:pPr>
        <w:tabs>
          <w:tab w:val="num" w:pos="0"/>
        </w:tabs>
        <w:ind w:left="720" w:hanging="360"/>
      </w:pPr>
      <w:rPr>
        <w:rFonts w:ascii="Calibri" w:hAnsi="Calibri" w:cs="Calibri"/>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5" w15:restartNumberingAfterBreak="0">
    <w:nsid w:val="0000002E"/>
    <w:multiLevelType w:val="multilevel"/>
    <w:tmpl w:val="0000002E"/>
    <w:name w:val="WWNum4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0000002F"/>
    <w:multiLevelType w:val="multilevel"/>
    <w:tmpl w:val="0000002F"/>
    <w:name w:val="WWNum4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0"/>
    <w:multiLevelType w:val="multilevel"/>
    <w:tmpl w:val="00000030"/>
    <w:name w:val="WWNum4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8"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9" w15:restartNumberingAfterBreak="0">
    <w:nsid w:val="00000032"/>
    <w:multiLevelType w:val="multilevel"/>
    <w:tmpl w:val="00000032"/>
    <w:name w:val="WWNum4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3"/>
    <w:multiLevelType w:val="multilevel"/>
    <w:tmpl w:val="00000033"/>
    <w:name w:val="WWNum50"/>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1" w15:restartNumberingAfterBreak="0">
    <w:nsid w:val="00000034"/>
    <w:multiLevelType w:val="multilevel"/>
    <w:tmpl w:val="00000034"/>
    <w:name w:val="WWNum51"/>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5"/>
    <w:multiLevelType w:val="multilevel"/>
    <w:tmpl w:val="00000035"/>
    <w:name w:val="WWNum5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3" w15:restartNumberingAfterBreak="0">
    <w:nsid w:val="00000036"/>
    <w:multiLevelType w:val="multilevel"/>
    <w:tmpl w:val="00000036"/>
    <w:name w:val="WWNum5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7"/>
    <w:multiLevelType w:val="multilevel"/>
    <w:tmpl w:val="00000037"/>
    <w:name w:val="WWNum5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8"/>
    <w:multiLevelType w:val="multilevel"/>
    <w:tmpl w:val="00000038"/>
    <w:name w:val="WWNum5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6" w15:restartNumberingAfterBreak="0">
    <w:nsid w:val="00000039"/>
    <w:multiLevelType w:val="multilevel"/>
    <w:tmpl w:val="00000039"/>
    <w:name w:val="WWNum5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7" w15:restartNumberingAfterBreak="0">
    <w:nsid w:val="0000003A"/>
    <w:multiLevelType w:val="multilevel"/>
    <w:tmpl w:val="0000003A"/>
    <w:name w:val="WWNum5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8" w15:restartNumberingAfterBreak="0">
    <w:nsid w:val="0000003B"/>
    <w:multiLevelType w:val="multilevel"/>
    <w:tmpl w:val="0000003B"/>
    <w:name w:val="WWNum5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9" w15:restartNumberingAfterBreak="0">
    <w:nsid w:val="0000003C"/>
    <w:multiLevelType w:val="multilevel"/>
    <w:tmpl w:val="0000003C"/>
    <w:name w:val="WWNum59"/>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0" w15:restartNumberingAfterBreak="0">
    <w:nsid w:val="0000003D"/>
    <w:multiLevelType w:val="multilevel"/>
    <w:tmpl w:val="A3E87E6C"/>
    <w:name w:val="WWNum60"/>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1" w15:restartNumberingAfterBreak="0">
    <w:nsid w:val="0000003E"/>
    <w:multiLevelType w:val="multilevel"/>
    <w:tmpl w:val="0000003E"/>
    <w:name w:val="WWNum6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2" w15:restartNumberingAfterBreak="0">
    <w:nsid w:val="0000003F"/>
    <w:multiLevelType w:val="multilevel"/>
    <w:tmpl w:val="0000003F"/>
    <w:name w:val="WWNum6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3" w15:restartNumberingAfterBreak="0">
    <w:nsid w:val="00000040"/>
    <w:multiLevelType w:val="multilevel"/>
    <w:tmpl w:val="00000040"/>
    <w:name w:val="WWNum6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4" w15:restartNumberingAfterBreak="0">
    <w:nsid w:val="00000041"/>
    <w:multiLevelType w:val="multilevel"/>
    <w:tmpl w:val="ECDC4592"/>
    <w:name w:val="WWNum64"/>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5" w15:restartNumberingAfterBreak="0">
    <w:nsid w:val="00000042"/>
    <w:multiLevelType w:val="multilevel"/>
    <w:tmpl w:val="00000042"/>
    <w:name w:val="WWNum6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6" w15:restartNumberingAfterBreak="0">
    <w:nsid w:val="00000043"/>
    <w:multiLevelType w:val="multilevel"/>
    <w:tmpl w:val="00000043"/>
    <w:name w:val="WWNum66"/>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7" w15:restartNumberingAfterBreak="0">
    <w:nsid w:val="00000044"/>
    <w:multiLevelType w:val="multilevel"/>
    <w:tmpl w:val="00000044"/>
    <w:name w:val="WWNum6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8" w15:restartNumberingAfterBreak="0">
    <w:nsid w:val="00000045"/>
    <w:multiLevelType w:val="multilevel"/>
    <w:tmpl w:val="00000045"/>
    <w:name w:val="WWNum6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7"/>
    <w:multiLevelType w:val="multilevel"/>
    <w:tmpl w:val="00000047"/>
    <w:name w:val="WWNum7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1" w15:restartNumberingAfterBreak="0">
    <w:nsid w:val="00000048"/>
    <w:multiLevelType w:val="multilevel"/>
    <w:tmpl w:val="818EB8F6"/>
    <w:name w:val="WWNum71"/>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15:restartNumberingAfterBreak="0">
    <w:nsid w:val="0000004A"/>
    <w:multiLevelType w:val="multilevel"/>
    <w:tmpl w:val="0000004A"/>
    <w:name w:val="WWNum73"/>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15:restartNumberingAfterBreak="0">
    <w:nsid w:val="0000004B"/>
    <w:multiLevelType w:val="multilevel"/>
    <w:tmpl w:val="0000004B"/>
    <w:name w:val="WWNum74"/>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5" w15:restartNumberingAfterBreak="0">
    <w:nsid w:val="0000004C"/>
    <w:multiLevelType w:val="multilevel"/>
    <w:tmpl w:val="0000004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6" w15:restartNumberingAfterBreak="0">
    <w:nsid w:val="0000004D"/>
    <w:multiLevelType w:val="multilevel"/>
    <w:tmpl w:val="0000004D"/>
    <w:name w:val="WWNum7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87"/>
        </w:tabs>
        <w:ind w:left="1353"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7" w15:restartNumberingAfterBreak="0">
    <w:nsid w:val="0000004E"/>
    <w:multiLevelType w:val="multilevel"/>
    <w:tmpl w:val="0000004E"/>
    <w:name w:val="WWNum7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8" w15:restartNumberingAfterBreak="0">
    <w:nsid w:val="0000004F"/>
    <w:multiLevelType w:val="multilevel"/>
    <w:tmpl w:val="0000004F"/>
    <w:name w:val="WWNum7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9" w15:restartNumberingAfterBreak="0">
    <w:nsid w:val="00000050"/>
    <w:multiLevelType w:val="multilevel"/>
    <w:tmpl w:val="00000050"/>
    <w:name w:val="WWNum7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0" w15:restartNumberingAfterBreak="0">
    <w:nsid w:val="00000051"/>
    <w:multiLevelType w:val="multilevel"/>
    <w:tmpl w:val="00000051"/>
    <w:name w:val="WWNum8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81" w15:restartNumberingAfterBreak="0">
    <w:nsid w:val="00000052"/>
    <w:multiLevelType w:val="multilevel"/>
    <w:tmpl w:val="00000052"/>
    <w:name w:val="WWNum81"/>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82" w15:restartNumberingAfterBreak="0">
    <w:nsid w:val="00000053"/>
    <w:multiLevelType w:val="multilevel"/>
    <w:tmpl w:val="00000053"/>
    <w:name w:val="WWNum82"/>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83" w15:restartNumberingAfterBreak="0">
    <w:nsid w:val="00000054"/>
    <w:multiLevelType w:val="multilevel"/>
    <w:tmpl w:val="00000054"/>
    <w:name w:val="WWNum83"/>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84" w15:restartNumberingAfterBreak="0">
    <w:nsid w:val="00000055"/>
    <w:multiLevelType w:val="multilevel"/>
    <w:tmpl w:val="00000055"/>
    <w:name w:val="WWNum84"/>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85" w15:restartNumberingAfterBreak="0">
    <w:nsid w:val="00000056"/>
    <w:multiLevelType w:val="multilevel"/>
    <w:tmpl w:val="00000056"/>
    <w:name w:val="WWNum8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6" w15:restartNumberingAfterBreak="0">
    <w:nsid w:val="00000057"/>
    <w:multiLevelType w:val="multilevel"/>
    <w:tmpl w:val="05EC7D9C"/>
    <w:name w:val="WWNum8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229"/>
        </w:tabs>
        <w:ind w:left="1211"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7" w15:restartNumberingAfterBreak="0">
    <w:nsid w:val="00000058"/>
    <w:multiLevelType w:val="multilevel"/>
    <w:tmpl w:val="00000058"/>
    <w:name w:val="WWNum8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8" w15:restartNumberingAfterBreak="0">
    <w:nsid w:val="00000059"/>
    <w:multiLevelType w:val="multilevel"/>
    <w:tmpl w:val="00000059"/>
    <w:name w:val="WWNum8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9" w15:restartNumberingAfterBreak="0">
    <w:nsid w:val="0000005A"/>
    <w:multiLevelType w:val="multilevel"/>
    <w:tmpl w:val="0000005A"/>
    <w:name w:val="WWNum89"/>
    <w:lvl w:ilvl="0">
      <w:start w:val="4"/>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0" w15:restartNumberingAfterBreak="0">
    <w:nsid w:val="0000005B"/>
    <w:multiLevelType w:val="multilevel"/>
    <w:tmpl w:val="0000005B"/>
    <w:name w:val="WWNum90"/>
    <w:lvl w:ilvl="0">
      <w:start w:val="1"/>
      <w:numFmt w:val="lowerLetter"/>
      <w:lvlText w:val="%1.1"/>
      <w:lvlJc w:val="left"/>
      <w:pPr>
        <w:tabs>
          <w:tab w:val="num" w:pos="0"/>
        </w:tabs>
        <w:ind w:left="1364" w:hanging="360"/>
      </w:pPr>
    </w:lvl>
    <w:lvl w:ilvl="1">
      <w:start w:val="1"/>
      <w:numFmt w:val="lowerLetter"/>
      <w:lvlText w:val="%2."/>
      <w:lvlJc w:val="left"/>
      <w:pPr>
        <w:tabs>
          <w:tab w:val="num" w:pos="0"/>
        </w:tabs>
        <w:ind w:left="2084" w:hanging="360"/>
      </w:pPr>
    </w:lvl>
    <w:lvl w:ilvl="2">
      <w:start w:val="1"/>
      <w:numFmt w:val="lowerRoman"/>
      <w:lvlText w:val="%2.%3."/>
      <w:lvlJc w:val="right"/>
      <w:pPr>
        <w:tabs>
          <w:tab w:val="num" w:pos="0"/>
        </w:tabs>
        <w:ind w:left="2804" w:hanging="180"/>
      </w:pPr>
    </w:lvl>
    <w:lvl w:ilvl="3">
      <w:start w:val="1"/>
      <w:numFmt w:val="decimal"/>
      <w:lvlText w:val="%2.%3.%4."/>
      <w:lvlJc w:val="left"/>
      <w:pPr>
        <w:tabs>
          <w:tab w:val="num" w:pos="0"/>
        </w:tabs>
        <w:ind w:left="3524" w:hanging="360"/>
      </w:pPr>
    </w:lvl>
    <w:lvl w:ilvl="4">
      <w:start w:val="1"/>
      <w:numFmt w:val="lowerLetter"/>
      <w:lvlText w:val="%2.%3.%4.%5."/>
      <w:lvlJc w:val="left"/>
      <w:pPr>
        <w:tabs>
          <w:tab w:val="num" w:pos="0"/>
        </w:tabs>
        <w:ind w:left="4244" w:hanging="360"/>
      </w:pPr>
    </w:lvl>
    <w:lvl w:ilvl="5">
      <w:start w:val="1"/>
      <w:numFmt w:val="lowerRoman"/>
      <w:lvlText w:val="%2.%3.%4.%5.%6."/>
      <w:lvlJc w:val="right"/>
      <w:pPr>
        <w:tabs>
          <w:tab w:val="num" w:pos="0"/>
        </w:tabs>
        <w:ind w:left="4964" w:hanging="180"/>
      </w:pPr>
    </w:lvl>
    <w:lvl w:ilvl="6">
      <w:start w:val="1"/>
      <w:numFmt w:val="decimal"/>
      <w:lvlText w:val="%2.%3.%4.%5.%6.%7."/>
      <w:lvlJc w:val="left"/>
      <w:pPr>
        <w:tabs>
          <w:tab w:val="num" w:pos="0"/>
        </w:tabs>
        <w:ind w:left="5684" w:hanging="360"/>
      </w:pPr>
    </w:lvl>
    <w:lvl w:ilvl="7">
      <w:start w:val="1"/>
      <w:numFmt w:val="lowerLetter"/>
      <w:lvlText w:val="%2.%3.%4.%5.%6.%7.%8."/>
      <w:lvlJc w:val="left"/>
      <w:pPr>
        <w:tabs>
          <w:tab w:val="num" w:pos="0"/>
        </w:tabs>
        <w:ind w:left="6404" w:hanging="360"/>
      </w:pPr>
    </w:lvl>
    <w:lvl w:ilvl="8">
      <w:start w:val="1"/>
      <w:numFmt w:val="lowerRoman"/>
      <w:lvlText w:val="%2.%3.%4.%5.%6.%7.%8.%9."/>
      <w:lvlJc w:val="right"/>
      <w:pPr>
        <w:tabs>
          <w:tab w:val="num" w:pos="0"/>
        </w:tabs>
        <w:ind w:left="7124" w:hanging="180"/>
      </w:pPr>
    </w:lvl>
  </w:abstractNum>
  <w:abstractNum w:abstractNumId="91" w15:restartNumberingAfterBreak="0">
    <w:nsid w:val="0000005C"/>
    <w:multiLevelType w:val="multilevel"/>
    <w:tmpl w:val="0000005C"/>
    <w:name w:val="WWNum91"/>
    <w:lvl w:ilvl="0">
      <w:start w:val="1"/>
      <w:numFmt w:val="lowerLetter"/>
      <w:lvlText w:val="%1.2"/>
      <w:lvlJc w:val="left"/>
      <w:pPr>
        <w:tabs>
          <w:tab w:val="num" w:pos="0"/>
        </w:tabs>
        <w:ind w:left="3164" w:hanging="360"/>
      </w:pPr>
    </w:lvl>
    <w:lvl w:ilvl="1">
      <w:start w:val="1"/>
      <w:numFmt w:val="lowerLetter"/>
      <w:lvlText w:val="%2."/>
      <w:lvlJc w:val="left"/>
      <w:pPr>
        <w:tabs>
          <w:tab w:val="num" w:pos="0"/>
        </w:tabs>
        <w:ind w:left="3884" w:hanging="360"/>
      </w:pPr>
    </w:lvl>
    <w:lvl w:ilvl="2">
      <w:start w:val="1"/>
      <w:numFmt w:val="lowerRoman"/>
      <w:lvlText w:val="%2.%3."/>
      <w:lvlJc w:val="right"/>
      <w:pPr>
        <w:tabs>
          <w:tab w:val="num" w:pos="0"/>
        </w:tabs>
        <w:ind w:left="4604" w:hanging="180"/>
      </w:pPr>
    </w:lvl>
    <w:lvl w:ilvl="3">
      <w:start w:val="1"/>
      <w:numFmt w:val="decimal"/>
      <w:lvlText w:val="%2.%3.%4."/>
      <w:lvlJc w:val="left"/>
      <w:pPr>
        <w:tabs>
          <w:tab w:val="num" w:pos="0"/>
        </w:tabs>
        <w:ind w:left="5324" w:hanging="360"/>
      </w:pPr>
    </w:lvl>
    <w:lvl w:ilvl="4">
      <w:start w:val="1"/>
      <w:numFmt w:val="lowerLetter"/>
      <w:lvlText w:val="%2.%3.%4.%5."/>
      <w:lvlJc w:val="left"/>
      <w:pPr>
        <w:tabs>
          <w:tab w:val="num" w:pos="0"/>
        </w:tabs>
        <w:ind w:left="6044" w:hanging="360"/>
      </w:pPr>
    </w:lvl>
    <w:lvl w:ilvl="5">
      <w:start w:val="1"/>
      <w:numFmt w:val="lowerRoman"/>
      <w:lvlText w:val="%2.%3.%4.%5.%6."/>
      <w:lvlJc w:val="right"/>
      <w:pPr>
        <w:tabs>
          <w:tab w:val="num" w:pos="0"/>
        </w:tabs>
        <w:ind w:left="6764" w:hanging="180"/>
      </w:pPr>
    </w:lvl>
    <w:lvl w:ilvl="6">
      <w:start w:val="1"/>
      <w:numFmt w:val="decimal"/>
      <w:lvlText w:val="%2.%3.%4.%5.%6.%7."/>
      <w:lvlJc w:val="left"/>
      <w:pPr>
        <w:tabs>
          <w:tab w:val="num" w:pos="0"/>
        </w:tabs>
        <w:ind w:left="7484" w:hanging="360"/>
      </w:pPr>
    </w:lvl>
    <w:lvl w:ilvl="7">
      <w:start w:val="1"/>
      <w:numFmt w:val="lowerLetter"/>
      <w:lvlText w:val="%2.%3.%4.%5.%6.%7.%8."/>
      <w:lvlJc w:val="left"/>
      <w:pPr>
        <w:tabs>
          <w:tab w:val="num" w:pos="0"/>
        </w:tabs>
        <w:ind w:left="8204" w:hanging="360"/>
      </w:pPr>
    </w:lvl>
    <w:lvl w:ilvl="8">
      <w:start w:val="1"/>
      <w:numFmt w:val="lowerRoman"/>
      <w:lvlText w:val="%2.%3.%4.%5.%6.%7.%8.%9."/>
      <w:lvlJc w:val="right"/>
      <w:pPr>
        <w:tabs>
          <w:tab w:val="num" w:pos="0"/>
        </w:tabs>
        <w:ind w:left="8924" w:hanging="180"/>
      </w:pPr>
    </w:lvl>
  </w:abstractNum>
  <w:abstractNum w:abstractNumId="92" w15:restartNumberingAfterBreak="0">
    <w:nsid w:val="0000005D"/>
    <w:multiLevelType w:val="multilevel"/>
    <w:tmpl w:val="0000005D"/>
    <w:name w:val="WWNum92"/>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93" w15:restartNumberingAfterBreak="0">
    <w:nsid w:val="0000005E"/>
    <w:multiLevelType w:val="multilevel"/>
    <w:tmpl w:val="0000005E"/>
    <w:name w:val="WWNum93"/>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4" w15:restartNumberingAfterBreak="0">
    <w:nsid w:val="0032282B"/>
    <w:multiLevelType w:val="multilevel"/>
    <w:tmpl w:val="65A6EF6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5" w15:restartNumberingAfterBreak="0">
    <w:nsid w:val="03AB5E32"/>
    <w:multiLevelType w:val="multilevel"/>
    <w:tmpl w:val="F5AED5A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6" w15:restartNumberingAfterBreak="0">
    <w:nsid w:val="04671775"/>
    <w:multiLevelType w:val="multilevel"/>
    <w:tmpl w:val="2594FC0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7" w15:restartNumberingAfterBreak="0">
    <w:nsid w:val="052E6D9E"/>
    <w:multiLevelType w:val="multilevel"/>
    <w:tmpl w:val="36E8E88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8" w15:restartNumberingAfterBreak="0">
    <w:nsid w:val="0578770E"/>
    <w:multiLevelType w:val="hybridMultilevel"/>
    <w:tmpl w:val="2FEE17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9" w15:restartNumberingAfterBreak="0">
    <w:nsid w:val="07882644"/>
    <w:multiLevelType w:val="multilevel"/>
    <w:tmpl w:val="660C47C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0" w15:restartNumberingAfterBreak="0">
    <w:nsid w:val="08391A33"/>
    <w:multiLevelType w:val="hybridMultilevel"/>
    <w:tmpl w:val="A39C3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0B4A38F1"/>
    <w:multiLevelType w:val="hybridMultilevel"/>
    <w:tmpl w:val="5BECD2E4"/>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02" w15:restartNumberingAfterBreak="0">
    <w:nsid w:val="0CB704EC"/>
    <w:multiLevelType w:val="multilevel"/>
    <w:tmpl w:val="F9108B6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3" w15:restartNumberingAfterBreak="0">
    <w:nsid w:val="0D4B1DD1"/>
    <w:multiLevelType w:val="hybridMultilevel"/>
    <w:tmpl w:val="2C42277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4" w15:restartNumberingAfterBreak="0">
    <w:nsid w:val="0DDD140B"/>
    <w:multiLevelType w:val="multilevel"/>
    <w:tmpl w:val="0000004B"/>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5" w15:restartNumberingAfterBreak="0">
    <w:nsid w:val="115D4FF4"/>
    <w:multiLevelType w:val="multilevel"/>
    <w:tmpl w:val="F50C5EC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6" w15:restartNumberingAfterBreak="0">
    <w:nsid w:val="11E35BCE"/>
    <w:multiLevelType w:val="multilevel"/>
    <w:tmpl w:val="847AA15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7" w15:restartNumberingAfterBreak="0">
    <w:nsid w:val="125B715B"/>
    <w:multiLevelType w:val="multilevel"/>
    <w:tmpl w:val="01B6DBE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8" w15:restartNumberingAfterBreak="0">
    <w:nsid w:val="12864BF9"/>
    <w:multiLevelType w:val="multilevel"/>
    <w:tmpl w:val="C2B642B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9" w15:restartNumberingAfterBreak="0">
    <w:nsid w:val="129D49A1"/>
    <w:multiLevelType w:val="multilevel"/>
    <w:tmpl w:val="D6AE660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0" w15:restartNumberingAfterBreak="0">
    <w:nsid w:val="12E92190"/>
    <w:multiLevelType w:val="hybridMultilevel"/>
    <w:tmpl w:val="90E06F7A"/>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11" w15:restartNumberingAfterBreak="0">
    <w:nsid w:val="14176FD4"/>
    <w:multiLevelType w:val="hybridMultilevel"/>
    <w:tmpl w:val="A9522BD8"/>
    <w:lvl w:ilvl="0" w:tplc="687A8020">
      <w:start w:val="1"/>
      <w:numFmt w:val="bullet"/>
      <w:lvlText w:val="-"/>
      <w:lvlJc w:val="left"/>
      <w:pPr>
        <w:ind w:left="1800" w:hanging="360"/>
      </w:pPr>
      <w:rPr>
        <w:rFonts w:ascii="Verdana" w:eastAsia="Times New Roman" w:hAnsi="Verdana"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2" w15:restartNumberingAfterBreak="0">
    <w:nsid w:val="147201E2"/>
    <w:multiLevelType w:val="hybridMultilevel"/>
    <w:tmpl w:val="EF2E65D4"/>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15BA3745"/>
    <w:multiLevelType w:val="multilevel"/>
    <w:tmpl w:val="2EF2689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4" w15:restartNumberingAfterBreak="0">
    <w:nsid w:val="18152630"/>
    <w:multiLevelType w:val="multilevel"/>
    <w:tmpl w:val="5BB8397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5" w15:restartNumberingAfterBreak="0">
    <w:nsid w:val="181E5A92"/>
    <w:multiLevelType w:val="multilevel"/>
    <w:tmpl w:val="ACD4D91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6" w15:restartNumberingAfterBreak="0">
    <w:nsid w:val="18DA083A"/>
    <w:multiLevelType w:val="multilevel"/>
    <w:tmpl w:val="B9B4B03A"/>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7" w15:restartNumberingAfterBreak="0">
    <w:nsid w:val="1BB403F0"/>
    <w:multiLevelType w:val="multilevel"/>
    <w:tmpl w:val="9DEE51E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8" w15:restartNumberingAfterBreak="0">
    <w:nsid w:val="1C342666"/>
    <w:multiLevelType w:val="hybridMultilevel"/>
    <w:tmpl w:val="7D14E2B6"/>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19" w15:restartNumberingAfterBreak="0">
    <w:nsid w:val="1DE3483C"/>
    <w:multiLevelType w:val="hybridMultilevel"/>
    <w:tmpl w:val="B986C9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0" w15:restartNumberingAfterBreak="0">
    <w:nsid w:val="1FCC1B12"/>
    <w:multiLevelType w:val="multilevel"/>
    <w:tmpl w:val="81F4E08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1" w15:restartNumberingAfterBreak="0">
    <w:nsid w:val="215626ED"/>
    <w:multiLevelType w:val="hybridMultilevel"/>
    <w:tmpl w:val="F3EE77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2" w15:restartNumberingAfterBreak="0">
    <w:nsid w:val="24CD78F6"/>
    <w:multiLevelType w:val="multilevel"/>
    <w:tmpl w:val="AC6AE1B0"/>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3" w15:restartNumberingAfterBreak="0">
    <w:nsid w:val="2501503E"/>
    <w:multiLevelType w:val="multilevel"/>
    <w:tmpl w:val="4AD8941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4" w15:restartNumberingAfterBreak="0">
    <w:nsid w:val="259447A2"/>
    <w:multiLevelType w:val="hybridMultilevel"/>
    <w:tmpl w:val="6A00E994"/>
    <w:lvl w:ilvl="0" w:tplc="A3267492">
      <w:start w:val="1"/>
      <w:numFmt w:val="upperLetter"/>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25" w15:restartNumberingAfterBreak="0">
    <w:nsid w:val="25EE6743"/>
    <w:multiLevelType w:val="hybridMultilevel"/>
    <w:tmpl w:val="5EAC730E"/>
    <w:lvl w:ilvl="0" w:tplc="687A8020">
      <w:start w:val="1"/>
      <w:numFmt w:val="bullet"/>
      <w:lvlText w:val="-"/>
      <w:lvlJc w:val="left"/>
      <w:pPr>
        <w:ind w:left="1800" w:hanging="360"/>
      </w:pPr>
      <w:rPr>
        <w:rFonts w:ascii="Verdana" w:eastAsia="Times New Roman" w:hAnsi="Verdana"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6" w15:restartNumberingAfterBreak="0">
    <w:nsid w:val="26177589"/>
    <w:multiLevelType w:val="multilevel"/>
    <w:tmpl w:val="D408C4F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7" w15:restartNumberingAfterBreak="0">
    <w:nsid w:val="266069E2"/>
    <w:multiLevelType w:val="multilevel"/>
    <w:tmpl w:val="B56C67F0"/>
    <w:lvl w:ilvl="0">
      <w:start w:val="1"/>
      <w:numFmt w:val="bullet"/>
      <w:lvlText w:val=""/>
      <w:lvlJc w:val="left"/>
      <w:pPr>
        <w:tabs>
          <w:tab w:val="num" w:pos="917"/>
        </w:tabs>
        <w:ind w:left="1637" w:hanging="360"/>
      </w:pPr>
      <w:rPr>
        <w:rFonts w:ascii="Symbol" w:hAnsi="Symbol" w:hint="default"/>
      </w:rPr>
    </w:lvl>
    <w:lvl w:ilvl="1">
      <w:start w:val="1"/>
      <w:numFmt w:val="bullet"/>
      <w:lvlText w:val="o"/>
      <w:lvlJc w:val="left"/>
      <w:pPr>
        <w:tabs>
          <w:tab w:val="num" w:pos="917"/>
        </w:tabs>
        <w:ind w:left="2357" w:hanging="360"/>
      </w:pPr>
      <w:rPr>
        <w:rFonts w:ascii="Courier New" w:hAnsi="Courier New" w:cs="Courier New"/>
      </w:rPr>
    </w:lvl>
    <w:lvl w:ilvl="2">
      <w:start w:val="1"/>
      <w:numFmt w:val="bullet"/>
      <w:lvlText w:val=""/>
      <w:lvlJc w:val="left"/>
      <w:pPr>
        <w:tabs>
          <w:tab w:val="num" w:pos="917"/>
        </w:tabs>
        <w:ind w:left="3077" w:hanging="360"/>
      </w:pPr>
      <w:rPr>
        <w:rFonts w:ascii="Wingdings" w:hAnsi="Wingdings"/>
      </w:rPr>
    </w:lvl>
    <w:lvl w:ilvl="3">
      <w:start w:val="1"/>
      <w:numFmt w:val="bullet"/>
      <w:lvlText w:val=""/>
      <w:lvlJc w:val="left"/>
      <w:pPr>
        <w:tabs>
          <w:tab w:val="num" w:pos="917"/>
        </w:tabs>
        <w:ind w:left="3797" w:hanging="360"/>
      </w:pPr>
      <w:rPr>
        <w:rFonts w:ascii="Symbol" w:hAnsi="Symbol"/>
      </w:rPr>
    </w:lvl>
    <w:lvl w:ilvl="4">
      <w:start w:val="1"/>
      <w:numFmt w:val="bullet"/>
      <w:lvlText w:val="o"/>
      <w:lvlJc w:val="left"/>
      <w:pPr>
        <w:tabs>
          <w:tab w:val="num" w:pos="917"/>
        </w:tabs>
        <w:ind w:left="4517" w:hanging="360"/>
      </w:pPr>
      <w:rPr>
        <w:rFonts w:ascii="Courier New" w:hAnsi="Courier New" w:cs="Courier New"/>
      </w:rPr>
    </w:lvl>
    <w:lvl w:ilvl="5">
      <w:start w:val="1"/>
      <w:numFmt w:val="bullet"/>
      <w:lvlText w:val=""/>
      <w:lvlJc w:val="left"/>
      <w:pPr>
        <w:tabs>
          <w:tab w:val="num" w:pos="917"/>
        </w:tabs>
        <w:ind w:left="5237" w:hanging="360"/>
      </w:pPr>
      <w:rPr>
        <w:rFonts w:ascii="Wingdings" w:hAnsi="Wingdings"/>
      </w:rPr>
    </w:lvl>
    <w:lvl w:ilvl="6">
      <w:start w:val="1"/>
      <w:numFmt w:val="bullet"/>
      <w:lvlText w:val=""/>
      <w:lvlJc w:val="left"/>
      <w:pPr>
        <w:tabs>
          <w:tab w:val="num" w:pos="917"/>
        </w:tabs>
        <w:ind w:left="5957" w:hanging="360"/>
      </w:pPr>
      <w:rPr>
        <w:rFonts w:ascii="Symbol" w:hAnsi="Symbol"/>
      </w:rPr>
    </w:lvl>
    <w:lvl w:ilvl="7">
      <w:start w:val="1"/>
      <w:numFmt w:val="bullet"/>
      <w:lvlText w:val="o"/>
      <w:lvlJc w:val="left"/>
      <w:pPr>
        <w:tabs>
          <w:tab w:val="num" w:pos="917"/>
        </w:tabs>
        <w:ind w:left="6677" w:hanging="360"/>
      </w:pPr>
      <w:rPr>
        <w:rFonts w:ascii="Courier New" w:hAnsi="Courier New" w:cs="Courier New"/>
      </w:rPr>
    </w:lvl>
    <w:lvl w:ilvl="8">
      <w:start w:val="1"/>
      <w:numFmt w:val="bullet"/>
      <w:lvlText w:val=""/>
      <w:lvlJc w:val="left"/>
      <w:pPr>
        <w:tabs>
          <w:tab w:val="num" w:pos="917"/>
        </w:tabs>
        <w:ind w:left="7397" w:hanging="360"/>
      </w:pPr>
      <w:rPr>
        <w:rFonts w:ascii="Wingdings" w:hAnsi="Wingdings"/>
      </w:rPr>
    </w:lvl>
  </w:abstractNum>
  <w:abstractNum w:abstractNumId="128" w15:restartNumberingAfterBreak="0">
    <w:nsid w:val="26860AF7"/>
    <w:multiLevelType w:val="multilevel"/>
    <w:tmpl w:val="C644A9F6"/>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9" w15:restartNumberingAfterBreak="0">
    <w:nsid w:val="277D2BAE"/>
    <w:multiLevelType w:val="hybridMultilevel"/>
    <w:tmpl w:val="818446EA"/>
    <w:lvl w:ilvl="0" w:tplc="9F26DAFC">
      <w:start w:val="1"/>
      <w:numFmt w:val="upperLetter"/>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0" w15:restartNumberingAfterBreak="0">
    <w:nsid w:val="280F0B9C"/>
    <w:multiLevelType w:val="hybridMultilevel"/>
    <w:tmpl w:val="18D2B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2A2C26E5"/>
    <w:multiLevelType w:val="hybridMultilevel"/>
    <w:tmpl w:val="38B4DFE8"/>
    <w:lvl w:ilvl="0" w:tplc="7CFE9784">
      <w:start w:val="1"/>
      <w:numFmt w:val="lowerLetter"/>
      <w:lvlText w:val="(%1)"/>
      <w:lvlJc w:val="left"/>
      <w:pPr>
        <w:ind w:left="1125" w:hanging="40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2" w15:restartNumberingAfterBreak="0">
    <w:nsid w:val="2B616868"/>
    <w:multiLevelType w:val="hybridMultilevel"/>
    <w:tmpl w:val="74B25DA8"/>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33" w15:restartNumberingAfterBreak="0">
    <w:nsid w:val="2B8C48FB"/>
    <w:multiLevelType w:val="multilevel"/>
    <w:tmpl w:val="37725B6A"/>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4" w15:restartNumberingAfterBreak="0">
    <w:nsid w:val="2C6C5CE0"/>
    <w:multiLevelType w:val="multilevel"/>
    <w:tmpl w:val="A6C20BE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5" w15:restartNumberingAfterBreak="0">
    <w:nsid w:val="2D251A3E"/>
    <w:multiLevelType w:val="hybridMultilevel"/>
    <w:tmpl w:val="C31ED016"/>
    <w:lvl w:ilvl="0" w:tplc="8CD075CC">
      <w:start w:val="10"/>
      <w:numFmt w:val="bullet"/>
      <w:lvlText w:val="-"/>
      <w:lvlJc w:val="left"/>
      <w:pPr>
        <w:ind w:left="720" w:hanging="360"/>
      </w:pPr>
      <w:rPr>
        <w:rFonts w:ascii="Arial" w:eastAsia="Times New Roman" w:hAnsi="Arial" w:cs="Times New Roman" w:hint="default"/>
      </w:rPr>
    </w:lvl>
    <w:lvl w:ilvl="1" w:tplc="9BDAA510">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2EF76CFF"/>
    <w:multiLevelType w:val="hybridMultilevel"/>
    <w:tmpl w:val="62908648"/>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2FA80719"/>
    <w:multiLevelType w:val="multilevel"/>
    <w:tmpl w:val="D8C8250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8" w15:restartNumberingAfterBreak="0">
    <w:nsid w:val="30585D3F"/>
    <w:multiLevelType w:val="multilevel"/>
    <w:tmpl w:val="0114D3F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9" w15:restartNumberingAfterBreak="0">
    <w:nsid w:val="308B7408"/>
    <w:multiLevelType w:val="hybridMultilevel"/>
    <w:tmpl w:val="7422D246"/>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40" w15:restartNumberingAfterBreak="0">
    <w:nsid w:val="30FC6933"/>
    <w:multiLevelType w:val="multilevel"/>
    <w:tmpl w:val="2654F00E"/>
    <w:lvl w:ilvl="0">
      <w:start w:val="1"/>
      <w:numFmt w:val="bullet"/>
      <w:lvlText w:val="-"/>
      <w:lvlJc w:val="left"/>
      <w:pPr>
        <w:tabs>
          <w:tab w:val="num" w:pos="0"/>
        </w:tabs>
        <w:ind w:left="2880" w:hanging="360"/>
      </w:pPr>
      <w:rPr>
        <w:rFonts w:ascii="Verdana" w:eastAsia="Times New Roman" w:hAnsi="Verdana" w:cs="Times New Roman" w:hint="default"/>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141" w15:restartNumberingAfterBreak="0">
    <w:nsid w:val="32187C21"/>
    <w:multiLevelType w:val="hybridMultilevel"/>
    <w:tmpl w:val="98F0CDE0"/>
    <w:lvl w:ilvl="0" w:tplc="687A8020">
      <w:start w:val="1"/>
      <w:numFmt w:val="bullet"/>
      <w:lvlText w:val="-"/>
      <w:lvlJc w:val="left"/>
      <w:pPr>
        <w:ind w:left="1636" w:hanging="360"/>
      </w:pPr>
      <w:rPr>
        <w:rFonts w:ascii="Verdana" w:eastAsia="Times New Roman" w:hAnsi="Verdana" w:cs="Times New Roman"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42" w15:restartNumberingAfterBreak="0">
    <w:nsid w:val="32EB2971"/>
    <w:multiLevelType w:val="hybridMultilevel"/>
    <w:tmpl w:val="343EB792"/>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33D76E0D"/>
    <w:multiLevelType w:val="multilevel"/>
    <w:tmpl w:val="57D4C14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4" w15:restartNumberingAfterBreak="0">
    <w:nsid w:val="363C5CB0"/>
    <w:multiLevelType w:val="hybridMultilevel"/>
    <w:tmpl w:val="399C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36E70D2D"/>
    <w:multiLevelType w:val="hybridMultilevel"/>
    <w:tmpl w:val="0DC235D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0" w:hanging="360"/>
      </w:pPr>
      <w:rPr>
        <w:rFonts w:ascii="Wingdings" w:hAnsi="Wingdings" w:hint="default"/>
      </w:rPr>
    </w:lvl>
    <w:lvl w:ilvl="3" w:tplc="08090001">
      <w:start w:val="1"/>
      <w:numFmt w:val="bullet"/>
      <w:lvlText w:val=""/>
      <w:lvlJc w:val="left"/>
      <w:pPr>
        <w:ind w:left="720" w:hanging="360"/>
      </w:pPr>
      <w:rPr>
        <w:rFonts w:ascii="Symbol" w:hAnsi="Symbol" w:hint="default"/>
      </w:rPr>
    </w:lvl>
    <w:lvl w:ilvl="4" w:tplc="08090003">
      <w:start w:val="1"/>
      <w:numFmt w:val="bullet"/>
      <w:lvlText w:val="o"/>
      <w:lvlJc w:val="left"/>
      <w:pPr>
        <w:ind w:left="1440" w:hanging="360"/>
      </w:pPr>
      <w:rPr>
        <w:rFonts w:ascii="Courier New" w:hAnsi="Courier New" w:cs="Courier New" w:hint="default"/>
      </w:rPr>
    </w:lvl>
    <w:lvl w:ilvl="5" w:tplc="08090005">
      <w:start w:val="1"/>
      <w:numFmt w:val="bullet"/>
      <w:lvlText w:val=""/>
      <w:lvlJc w:val="left"/>
      <w:pPr>
        <w:ind w:left="2160" w:hanging="360"/>
      </w:pPr>
      <w:rPr>
        <w:rFonts w:ascii="Wingdings" w:hAnsi="Wingdings" w:hint="default"/>
      </w:rPr>
    </w:lvl>
    <w:lvl w:ilvl="6" w:tplc="08090001">
      <w:start w:val="1"/>
      <w:numFmt w:val="bullet"/>
      <w:lvlText w:val=""/>
      <w:lvlJc w:val="left"/>
      <w:pPr>
        <w:ind w:left="2880" w:hanging="360"/>
      </w:pPr>
      <w:rPr>
        <w:rFonts w:ascii="Symbol" w:hAnsi="Symbol" w:hint="default"/>
      </w:rPr>
    </w:lvl>
    <w:lvl w:ilvl="7" w:tplc="08090003">
      <w:start w:val="1"/>
      <w:numFmt w:val="bullet"/>
      <w:lvlText w:val="o"/>
      <w:lvlJc w:val="left"/>
      <w:pPr>
        <w:ind w:left="3600" w:hanging="360"/>
      </w:pPr>
      <w:rPr>
        <w:rFonts w:ascii="Courier New" w:hAnsi="Courier New" w:cs="Courier New" w:hint="default"/>
      </w:rPr>
    </w:lvl>
    <w:lvl w:ilvl="8" w:tplc="08090005">
      <w:start w:val="1"/>
      <w:numFmt w:val="bullet"/>
      <w:lvlText w:val=""/>
      <w:lvlJc w:val="left"/>
      <w:pPr>
        <w:ind w:left="4320" w:hanging="360"/>
      </w:pPr>
      <w:rPr>
        <w:rFonts w:ascii="Wingdings" w:hAnsi="Wingdings" w:hint="default"/>
      </w:rPr>
    </w:lvl>
  </w:abstractNum>
  <w:abstractNum w:abstractNumId="146" w15:restartNumberingAfterBreak="0">
    <w:nsid w:val="371F622E"/>
    <w:multiLevelType w:val="multilevel"/>
    <w:tmpl w:val="896099AC"/>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7" w15:restartNumberingAfterBreak="0">
    <w:nsid w:val="375D3715"/>
    <w:multiLevelType w:val="multilevel"/>
    <w:tmpl w:val="A66054D8"/>
    <w:lvl w:ilvl="0">
      <w:start w:val="10"/>
      <w:numFmt w:val="bullet"/>
      <w:lvlText w:val="-"/>
      <w:lvlJc w:val="left"/>
      <w:pPr>
        <w:tabs>
          <w:tab w:val="num" w:pos="0"/>
        </w:tabs>
        <w:ind w:left="720" w:hanging="360"/>
      </w:pPr>
      <w:rPr>
        <w:rFonts w:ascii="Arial" w:eastAsia="Times New Roman" w:hAnsi="Arial" w:cs="Times New Roman" w:hint="default"/>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8" w15:restartNumberingAfterBreak="0">
    <w:nsid w:val="3A4E03F4"/>
    <w:multiLevelType w:val="multilevel"/>
    <w:tmpl w:val="C16E4C8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9" w15:restartNumberingAfterBreak="0">
    <w:nsid w:val="3AE7018F"/>
    <w:multiLevelType w:val="hybridMultilevel"/>
    <w:tmpl w:val="EAAAFF9A"/>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3AEA5D34"/>
    <w:multiLevelType w:val="hybridMultilevel"/>
    <w:tmpl w:val="99F28414"/>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3FFD0750"/>
    <w:multiLevelType w:val="multilevel"/>
    <w:tmpl w:val="5B3EF37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2" w15:restartNumberingAfterBreak="0">
    <w:nsid w:val="428B2324"/>
    <w:multiLevelType w:val="multilevel"/>
    <w:tmpl w:val="C0E49824"/>
    <w:lvl w:ilvl="0">
      <w:start w:val="1"/>
      <w:numFmt w:val="bullet"/>
      <w:lvlText w:val=""/>
      <w:lvlJc w:val="left"/>
      <w:pPr>
        <w:tabs>
          <w:tab w:val="num" w:pos="0"/>
        </w:tabs>
        <w:ind w:left="720" w:hanging="360"/>
      </w:pPr>
      <w:rPr>
        <w:rFonts w:ascii="Symbol" w:hAnsi="Symbol" w:hint="default"/>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3" w15:restartNumberingAfterBreak="0">
    <w:nsid w:val="46585F3D"/>
    <w:multiLevelType w:val="hybridMultilevel"/>
    <w:tmpl w:val="CE28792C"/>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54" w15:restartNumberingAfterBreak="0">
    <w:nsid w:val="471D64E7"/>
    <w:multiLevelType w:val="hybridMultilevel"/>
    <w:tmpl w:val="7EF6209A"/>
    <w:lvl w:ilvl="0" w:tplc="8CD075CC">
      <w:start w:val="10"/>
      <w:numFmt w:val="bullet"/>
      <w:lvlText w:val="-"/>
      <w:lvlJc w:val="left"/>
      <w:pPr>
        <w:ind w:left="1713" w:hanging="360"/>
      </w:pPr>
      <w:rPr>
        <w:rFonts w:ascii="Arial" w:eastAsia="Times New Roman" w:hAnsi="Arial"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55" w15:restartNumberingAfterBreak="0">
    <w:nsid w:val="47CC2DBB"/>
    <w:multiLevelType w:val="multilevel"/>
    <w:tmpl w:val="4F9A19F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6" w15:restartNumberingAfterBreak="0">
    <w:nsid w:val="47EB55DF"/>
    <w:multiLevelType w:val="multilevel"/>
    <w:tmpl w:val="47806AF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7" w15:restartNumberingAfterBreak="0">
    <w:nsid w:val="49F21536"/>
    <w:multiLevelType w:val="hybridMultilevel"/>
    <w:tmpl w:val="F4F62076"/>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4AFB4C23"/>
    <w:multiLevelType w:val="multilevel"/>
    <w:tmpl w:val="DA0EFF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9" w15:restartNumberingAfterBreak="0">
    <w:nsid w:val="4D661270"/>
    <w:multiLevelType w:val="multilevel"/>
    <w:tmpl w:val="0972B9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0" w15:restartNumberingAfterBreak="0">
    <w:nsid w:val="50D9692B"/>
    <w:multiLevelType w:val="hybridMultilevel"/>
    <w:tmpl w:val="A398A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1" w15:restartNumberingAfterBreak="0">
    <w:nsid w:val="515F5FF0"/>
    <w:multiLevelType w:val="multilevel"/>
    <w:tmpl w:val="759EC61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2" w15:restartNumberingAfterBreak="0">
    <w:nsid w:val="53121837"/>
    <w:multiLevelType w:val="multilevel"/>
    <w:tmpl w:val="5830A7E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3" w15:restartNumberingAfterBreak="0">
    <w:nsid w:val="542B4A69"/>
    <w:multiLevelType w:val="hybridMultilevel"/>
    <w:tmpl w:val="1DB035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544528E2"/>
    <w:multiLevelType w:val="hybridMultilevel"/>
    <w:tmpl w:val="31EC87B0"/>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65" w15:restartNumberingAfterBreak="0">
    <w:nsid w:val="55630976"/>
    <w:multiLevelType w:val="hybridMultilevel"/>
    <w:tmpl w:val="5784BBA2"/>
    <w:lvl w:ilvl="0" w:tplc="4A1467B8">
      <w:start w:val="1"/>
      <w:numFmt w:val="lowerLetter"/>
      <w:lvlText w:val="(%1)"/>
      <w:lvlJc w:val="left"/>
      <w:pPr>
        <w:ind w:left="720" w:hanging="360"/>
      </w:pPr>
      <w:rPr>
        <w:rFonts w:ascii="Times New Roman" w:hAnsi="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15:restartNumberingAfterBreak="0">
    <w:nsid w:val="569A2539"/>
    <w:multiLevelType w:val="multilevel"/>
    <w:tmpl w:val="80C43CB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7" w15:restartNumberingAfterBreak="0">
    <w:nsid w:val="573302BC"/>
    <w:multiLevelType w:val="multilevel"/>
    <w:tmpl w:val="18BAD80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8" w15:restartNumberingAfterBreak="0">
    <w:nsid w:val="57424DF2"/>
    <w:multiLevelType w:val="multilevel"/>
    <w:tmpl w:val="267018FC"/>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9" w15:restartNumberingAfterBreak="0">
    <w:nsid w:val="591A7BA1"/>
    <w:multiLevelType w:val="multilevel"/>
    <w:tmpl w:val="2B3873A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0" w15:restartNumberingAfterBreak="0">
    <w:nsid w:val="594874A5"/>
    <w:multiLevelType w:val="multilevel"/>
    <w:tmpl w:val="6588785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1" w15:restartNumberingAfterBreak="0">
    <w:nsid w:val="59BC43AB"/>
    <w:multiLevelType w:val="hybridMultilevel"/>
    <w:tmpl w:val="9EEEBB36"/>
    <w:lvl w:ilvl="0" w:tplc="494A201E">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2" w15:restartNumberingAfterBreak="0">
    <w:nsid w:val="59C107C1"/>
    <w:multiLevelType w:val="multilevel"/>
    <w:tmpl w:val="335A917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3" w15:restartNumberingAfterBreak="0">
    <w:nsid w:val="5E5B02ED"/>
    <w:multiLevelType w:val="multilevel"/>
    <w:tmpl w:val="D21E7D3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4" w15:restartNumberingAfterBreak="0">
    <w:nsid w:val="5EE419B2"/>
    <w:multiLevelType w:val="multilevel"/>
    <w:tmpl w:val="CEDED1BE"/>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5" w15:restartNumberingAfterBreak="0">
    <w:nsid w:val="62411FF3"/>
    <w:multiLevelType w:val="hybridMultilevel"/>
    <w:tmpl w:val="EBFCE514"/>
    <w:lvl w:ilvl="0" w:tplc="687A8020">
      <w:start w:val="1"/>
      <w:numFmt w:val="bullet"/>
      <w:lvlText w:val="-"/>
      <w:lvlJc w:val="left"/>
      <w:pPr>
        <w:ind w:left="1440" w:hanging="360"/>
      </w:pPr>
      <w:rPr>
        <w:rFonts w:ascii="Verdana" w:eastAsia="Times New Roman" w:hAnsi="Verdana"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6" w15:restartNumberingAfterBreak="0">
    <w:nsid w:val="634B7FD9"/>
    <w:multiLevelType w:val="hybridMultilevel"/>
    <w:tmpl w:val="D3EED11A"/>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6439284D"/>
    <w:multiLevelType w:val="multilevel"/>
    <w:tmpl w:val="A4002750"/>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8" w15:restartNumberingAfterBreak="0">
    <w:nsid w:val="6461391B"/>
    <w:multiLevelType w:val="multilevel"/>
    <w:tmpl w:val="1A709D0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9" w15:restartNumberingAfterBreak="0">
    <w:nsid w:val="65D32C34"/>
    <w:multiLevelType w:val="multilevel"/>
    <w:tmpl w:val="DEF0178C"/>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0" w15:restartNumberingAfterBreak="0">
    <w:nsid w:val="662D220A"/>
    <w:multiLevelType w:val="multilevel"/>
    <w:tmpl w:val="1226AF9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1" w15:restartNumberingAfterBreak="0">
    <w:nsid w:val="66C85C44"/>
    <w:multiLevelType w:val="multilevel"/>
    <w:tmpl w:val="C6007F7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2" w15:restartNumberingAfterBreak="0">
    <w:nsid w:val="671F4F51"/>
    <w:multiLevelType w:val="multilevel"/>
    <w:tmpl w:val="285258B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3" w15:restartNumberingAfterBreak="0">
    <w:nsid w:val="69EF419A"/>
    <w:multiLevelType w:val="hybridMultilevel"/>
    <w:tmpl w:val="DF486868"/>
    <w:lvl w:ilvl="0" w:tplc="8CD075CC">
      <w:start w:val="10"/>
      <w:numFmt w:val="bullet"/>
      <w:lvlText w:val="-"/>
      <w:lvlJc w:val="left"/>
      <w:pPr>
        <w:ind w:left="1004" w:hanging="360"/>
      </w:pPr>
      <w:rPr>
        <w:rFonts w:ascii="Arial" w:eastAsia="Times New Roman" w:hAnsi="Arial"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4" w15:restartNumberingAfterBreak="0">
    <w:nsid w:val="6CB81D05"/>
    <w:multiLevelType w:val="multilevel"/>
    <w:tmpl w:val="E87EE9E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5" w15:restartNumberingAfterBreak="0">
    <w:nsid w:val="6D0526A0"/>
    <w:multiLevelType w:val="multilevel"/>
    <w:tmpl w:val="E0A81E4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6" w15:restartNumberingAfterBreak="0">
    <w:nsid w:val="6F2535F2"/>
    <w:multiLevelType w:val="multilevel"/>
    <w:tmpl w:val="00000012"/>
    <w:lvl w:ilvl="0">
      <w:start w:val="1"/>
      <w:numFmt w:val="lowerLetter"/>
      <w:lvlText w:val="(%1)"/>
      <w:lvlJc w:val="left"/>
      <w:pPr>
        <w:tabs>
          <w:tab w:val="num" w:pos="-360"/>
        </w:tabs>
        <w:ind w:left="360" w:hanging="360"/>
      </w:p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87" w15:restartNumberingAfterBreak="0">
    <w:nsid w:val="70C91028"/>
    <w:multiLevelType w:val="multilevel"/>
    <w:tmpl w:val="0A9C7EB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8" w15:restartNumberingAfterBreak="0">
    <w:nsid w:val="716B5BB2"/>
    <w:multiLevelType w:val="multilevel"/>
    <w:tmpl w:val="FF0C0F3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9" w15:restartNumberingAfterBreak="0">
    <w:nsid w:val="74995A8D"/>
    <w:multiLevelType w:val="hybridMultilevel"/>
    <w:tmpl w:val="269EE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74F82516"/>
    <w:multiLevelType w:val="hybridMultilevel"/>
    <w:tmpl w:val="F2D42F0A"/>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751B5FBE"/>
    <w:multiLevelType w:val="multilevel"/>
    <w:tmpl w:val="B42A45F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2" w15:restartNumberingAfterBreak="0">
    <w:nsid w:val="76CC4D78"/>
    <w:multiLevelType w:val="hybridMultilevel"/>
    <w:tmpl w:val="5B7C1C5E"/>
    <w:lvl w:ilvl="0" w:tplc="67160D14">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93" w15:restartNumberingAfterBreak="0">
    <w:nsid w:val="79E06AC5"/>
    <w:multiLevelType w:val="hybridMultilevel"/>
    <w:tmpl w:val="C4C079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4" w15:restartNumberingAfterBreak="0">
    <w:nsid w:val="7CAF15AD"/>
    <w:multiLevelType w:val="multilevel"/>
    <w:tmpl w:val="68EEE02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5" w15:restartNumberingAfterBreak="0">
    <w:nsid w:val="7D7A06DA"/>
    <w:multiLevelType w:val="hybridMultilevel"/>
    <w:tmpl w:val="FCA00B94"/>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687A8020">
      <w:start w:val="1"/>
      <w:numFmt w:val="bullet"/>
      <w:lvlText w:val="-"/>
      <w:lvlJc w:val="left"/>
      <w:pPr>
        <w:ind w:left="3796" w:hanging="360"/>
      </w:pPr>
      <w:rPr>
        <w:rFonts w:ascii="Verdana" w:eastAsia="Times New Roman" w:hAnsi="Verdana" w:cs="Times New Roman"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96" w15:restartNumberingAfterBreak="0">
    <w:nsid w:val="7D9169A7"/>
    <w:multiLevelType w:val="multilevel"/>
    <w:tmpl w:val="F4A04D6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7" w15:restartNumberingAfterBreak="0">
    <w:nsid w:val="7DCF32E0"/>
    <w:multiLevelType w:val="multilevel"/>
    <w:tmpl w:val="02B06AF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8" w15:restartNumberingAfterBreak="0">
    <w:nsid w:val="7E1247F8"/>
    <w:multiLevelType w:val="hybridMultilevel"/>
    <w:tmpl w:val="6B9E0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9" w15:restartNumberingAfterBreak="0">
    <w:nsid w:val="7E431D89"/>
    <w:multiLevelType w:val="multilevel"/>
    <w:tmpl w:val="777A099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0" w15:restartNumberingAfterBreak="0">
    <w:nsid w:val="7E4E3E9F"/>
    <w:multiLevelType w:val="hybridMultilevel"/>
    <w:tmpl w:val="36C0DB3C"/>
    <w:lvl w:ilvl="0" w:tplc="687A8020">
      <w:start w:val="1"/>
      <w:numFmt w:val="bullet"/>
      <w:lvlText w:val="-"/>
      <w:lvlJc w:val="left"/>
      <w:pPr>
        <w:ind w:left="1636" w:hanging="360"/>
      </w:pPr>
      <w:rPr>
        <w:rFonts w:ascii="Verdana" w:eastAsia="Times New Roman" w:hAnsi="Verdana" w:cs="Times New Roman"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01" w15:restartNumberingAfterBreak="0">
    <w:nsid w:val="7F7B7150"/>
    <w:multiLevelType w:val="multilevel"/>
    <w:tmpl w:val="BC7454F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2" w15:restartNumberingAfterBreak="0">
    <w:nsid w:val="7F7E5D64"/>
    <w:multiLevelType w:val="multilevel"/>
    <w:tmpl w:val="3386EE1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3" w15:restartNumberingAfterBreak="0">
    <w:nsid w:val="7FCF7127"/>
    <w:multiLevelType w:val="hybridMultilevel"/>
    <w:tmpl w:val="7A8238BC"/>
    <w:lvl w:ilvl="0" w:tplc="687A8020">
      <w:start w:val="1"/>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124"/>
  </w:num>
  <w:num w:numId="96">
    <w:abstractNumId w:val="171"/>
  </w:num>
  <w:num w:numId="97">
    <w:abstractNumId w:val="131"/>
  </w:num>
  <w:num w:numId="98">
    <w:abstractNumId w:val="165"/>
  </w:num>
  <w:num w:numId="99">
    <w:abstractNumId w:val="192"/>
  </w:num>
  <w:num w:numId="100">
    <w:abstractNumId w:val="132"/>
  </w:num>
  <w:num w:numId="101">
    <w:abstractNumId w:val="112"/>
  </w:num>
  <w:num w:numId="102">
    <w:abstractNumId w:val="130"/>
  </w:num>
  <w:num w:numId="103">
    <w:abstractNumId w:val="109"/>
  </w:num>
  <w:num w:numId="104">
    <w:abstractNumId w:val="140"/>
  </w:num>
  <w:num w:numId="105">
    <w:abstractNumId w:val="108"/>
  </w:num>
  <w:num w:numId="106">
    <w:abstractNumId w:val="107"/>
  </w:num>
  <w:num w:numId="107">
    <w:abstractNumId w:val="120"/>
  </w:num>
  <w:num w:numId="108">
    <w:abstractNumId w:val="129"/>
  </w:num>
  <w:num w:numId="109">
    <w:abstractNumId w:val="164"/>
  </w:num>
  <w:num w:numId="110">
    <w:abstractNumId w:val="103"/>
  </w:num>
  <w:num w:numId="111">
    <w:abstractNumId w:val="144"/>
  </w:num>
  <w:num w:numId="112">
    <w:abstractNumId w:val="174"/>
  </w:num>
  <w:num w:numId="113">
    <w:abstractNumId w:val="106"/>
  </w:num>
  <w:num w:numId="114">
    <w:abstractNumId w:val="119"/>
  </w:num>
  <w:num w:numId="115">
    <w:abstractNumId w:val="163"/>
  </w:num>
  <w:num w:numId="116">
    <w:abstractNumId w:val="127"/>
  </w:num>
  <w:num w:numId="117">
    <w:abstractNumId w:val="193"/>
  </w:num>
  <w:num w:numId="118">
    <w:abstractNumId w:val="155"/>
  </w:num>
  <w:num w:numId="119">
    <w:abstractNumId w:val="114"/>
  </w:num>
  <w:num w:numId="120">
    <w:abstractNumId w:val="96"/>
  </w:num>
  <w:num w:numId="121">
    <w:abstractNumId w:val="151"/>
  </w:num>
  <w:num w:numId="122">
    <w:abstractNumId w:val="182"/>
  </w:num>
  <w:num w:numId="123">
    <w:abstractNumId w:val="152"/>
  </w:num>
  <w:num w:numId="124">
    <w:abstractNumId w:val="113"/>
  </w:num>
  <w:num w:numId="125">
    <w:abstractNumId w:val="117"/>
  </w:num>
  <w:num w:numId="126">
    <w:abstractNumId w:val="156"/>
  </w:num>
  <w:num w:numId="127">
    <w:abstractNumId w:val="181"/>
  </w:num>
  <w:num w:numId="128">
    <w:abstractNumId w:val="189"/>
  </w:num>
  <w:num w:numId="129">
    <w:abstractNumId w:val="172"/>
  </w:num>
  <w:num w:numId="130">
    <w:abstractNumId w:val="115"/>
  </w:num>
  <w:num w:numId="131">
    <w:abstractNumId w:val="173"/>
  </w:num>
  <w:num w:numId="132">
    <w:abstractNumId w:val="169"/>
  </w:num>
  <w:num w:numId="133">
    <w:abstractNumId w:val="185"/>
  </w:num>
  <w:num w:numId="134">
    <w:abstractNumId w:val="160"/>
  </w:num>
  <w:num w:numId="135">
    <w:abstractNumId w:val="196"/>
  </w:num>
  <w:num w:numId="136">
    <w:abstractNumId w:val="159"/>
  </w:num>
  <w:num w:numId="137">
    <w:abstractNumId w:val="95"/>
  </w:num>
  <w:num w:numId="138">
    <w:abstractNumId w:val="100"/>
  </w:num>
  <w:num w:numId="139">
    <w:abstractNumId w:val="137"/>
  </w:num>
  <w:num w:numId="140">
    <w:abstractNumId w:val="202"/>
  </w:num>
  <w:num w:numId="141">
    <w:abstractNumId w:val="148"/>
  </w:num>
  <w:num w:numId="142">
    <w:abstractNumId w:val="122"/>
  </w:num>
  <w:num w:numId="143">
    <w:abstractNumId w:val="199"/>
  </w:num>
  <w:num w:numId="144">
    <w:abstractNumId w:val="177"/>
  </w:num>
  <w:num w:numId="145">
    <w:abstractNumId w:val="99"/>
  </w:num>
  <w:num w:numId="146">
    <w:abstractNumId w:val="133"/>
  </w:num>
  <w:num w:numId="147">
    <w:abstractNumId w:val="191"/>
  </w:num>
  <w:num w:numId="148">
    <w:abstractNumId w:val="200"/>
  </w:num>
  <w:num w:numId="149">
    <w:abstractNumId w:val="141"/>
  </w:num>
  <w:num w:numId="150">
    <w:abstractNumId w:val="136"/>
  </w:num>
  <w:num w:numId="151">
    <w:abstractNumId w:val="139"/>
  </w:num>
  <w:num w:numId="152">
    <w:abstractNumId w:val="110"/>
  </w:num>
  <w:num w:numId="153">
    <w:abstractNumId w:val="153"/>
  </w:num>
  <w:num w:numId="154">
    <w:abstractNumId w:val="195"/>
  </w:num>
  <w:num w:numId="155">
    <w:abstractNumId w:val="125"/>
  </w:num>
  <w:num w:numId="156">
    <w:abstractNumId w:val="203"/>
  </w:num>
  <w:num w:numId="157">
    <w:abstractNumId w:val="111"/>
  </w:num>
  <w:num w:numId="158">
    <w:abstractNumId w:val="190"/>
  </w:num>
  <w:num w:numId="159">
    <w:abstractNumId w:val="158"/>
  </w:num>
  <w:num w:numId="160">
    <w:abstractNumId w:val="175"/>
  </w:num>
  <w:num w:numId="161">
    <w:abstractNumId w:val="145"/>
  </w:num>
  <w:num w:numId="162">
    <w:abstractNumId w:val="186"/>
  </w:num>
  <w:num w:numId="163">
    <w:abstractNumId w:val="149"/>
  </w:num>
  <w:num w:numId="164">
    <w:abstractNumId w:val="121"/>
  </w:num>
  <w:num w:numId="165">
    <w:abstractNumId w:val="101"/>
  </w:num>
  <w:num w:numId="166">
    <w:abstractNumId w:val="201"/>
  </w:num>
  <w:num w:numId="167">
    <w:abstractNumId w:val="187"/>
  </w:num>
  <w:num w:numId="168">
    <w:abstractNumId w:val="126"/>
  </w:num>
  <w:num w:numId="169">
    <w:abstractNumId w:val="197"/>
  </w:num>
  <w:num w:numId="170">
    <w:abstractNumId w:val="167"/>
  </w:num>
  <w:num w:numId="171">
    <w:abstractNumId w:val="194"/>
  </w:num>
  <w:num w:numId="172">
    <w:abstractNumId w:val="180"/>
  </w:num>
  <w:num w:numId="173">
    <w:abstractNumId w:val="166"/>
  </w:num>
  <w:num w:numId="174">
    <w:abstractNumId w:val="134"/>
  </w:num>
  <w:num w:numId="175">
    <w:abstractNumId w:val="105"/>
  </w:num>
  <w:num w:numId="176">
    <w:abstractNumId w:val="97"/>
  </w:num>
  <w:num w:numId="177">
    <w:abstractNumId w:val="178"/>
  </w:num>
  <w:num w:numId="178">
    <w:abstractNumId w:val="143"/>
  </w:num>
  <w:num w:numId="179">
    <w:abstractNumId w:val="179"/>
  </w:num>
  <w:num w:numId="180">
    <w:abstractNumId w:val="168"/>
  </w:num>
  <w:num w:numId="181">
    <w:abstractNumId w:val="138"/>
  </w:num>
  <w:num w:numId="182">
    <w:abstractNumId w:val="94"/>
  </w:num>
  <w:num w:numId="183">
    <w:abstractNumId w:val="123"/>
  </w:num>
  <w:num w:numId="184">
    <w:abstractNumId w:val="184"/>
  </w:num>
  <w:num w:numId="185">
    <w:abstractNumId w:val="161"/>
  </w:num>
  <w:num w:numId="186">
    <w:abstractNumId w:val="188"/>
  </w:num>
  <w:num w:numId="187">
    <w:abstractNumId w:val="147"/>
  </w:num>
  <w:num w:numId="188">
    <w:abstractNumId w:val="128"/>
  </w:num>
  <w:num w:numId="189">
    <w:abstractNumId w:val="154"/>
  </w:num>
  <w:num w:numId="190">
    <w:abstractNumId w:val="150"/>
  </w:num>
  <w:num w:numId="191">
    <w:abstractNumId w:val="157"/>
  </w:num>
  <w:num w:numId="192">
    <w:abstractNumId w:val="146"/>
  </w:num>
  <w:num w:numId="193">
    <w:abstractNumId w:val="162"/>
  </w:num>
  <w:num w:numId="194">
    <w:abstractNumId w:val="183"/>
  </w:num>
  <w:num w:numId="195">
    <w:abstractNumId w:val="98"/>
  </w:num>
  <w:num w:numId="196">
    <w:abstractNumId w:val="102"/>
  </w:num>
  <w:num w:numId="197">
    <w:abstractNumId w:val="198"/>
  </w:num>
  <w:num w:numId="198">
    <w:abstractNumId w:val="118"/>
  </w:num>
  <w:num w:numId="199">
    <w:abstractNumId w:val="170"/>
  </w:num>
  <w:num w:numId="200">
    <w:abstractNumId w:val="116"/>
  </w:num>
  <w:num w:numId="201">
    <w:abstractNumId w:val="135"/>
  </w:num>
  <w:num w:numId="202">
    <w:abstractNumId w:val="176"/>
  </w:num>
  <w:num w:numId="203">
    <w:abstractNumId w:val="142"/>
  </w:num>
  <w:num w:numId="204">
    <w:abstractNumId w:val="104"/>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01D99"/>
    <w:rsid w:val="0000732B"/>
    <w:rsid w:val="00007AFB"/>
    <w:rsid w:val="000105B7"/>
    <w:rsid w:val="0001064F"/>
    <w:rsid w:val="00020CC7"/>
    <w:rsid w:val="0002408A"/>
    <w:rsid w:val="000248BD"/>
    <w:rsid w:val="00024ADF"/>
    <w:rsid w:val="00026904"/>
    <w:rsid w:val="0003319B"/>
    <w:rsid w:val="000335F1"/>
    <w:rsid w:val="00046515"/>
    <w:rsid w:val="000575C6"/>
    <w:rsid w:val="000646C4"/>
    <w:rsid w:val="000855F2"/>
    <w:rsid w:val="00091A82"/>
    <w:rsid w:val="000923A0"/>
    <w:rsid w:val="00097BC2"/>
    <w:rsid w:val="000B2406"/>
    <w:rsid w:val="000B5F47"/>
    <w:rsid w:val="000C2D12"/>
    <w:rsid w:val="000D0EED"/>
    <w:rsid w:val="000D7A4A"/>
    <w:rsid w:val="000E3427"/>
    <w:rsid w:val="000E4AF8"/>
    <w:rsid w:val="000E53AC"/>
    <w:rsid w:val="000F2D00"/>
    <w:rsid w:val="000F4A1D"/>
    <w:rsid w:val="000F64E1"/>
    <w:rsid w:val="000F7866"/>
    <w:rsid w:val="0010369C"/>
    <w:rsid w:val="00111CB6"/>
    <w:rsid w:val="001174E1"/>
    <w:rsid w:val="001259A8"/>
    <w:rsid w:val="00140DB3"/>
    <w:rsid w:val="00141826"/>
    <w:rsid w:val="00141F6A"/>
    <w:rsid w:val="00152AF2"/>
    <w:rsid w:val="00172D88"/>
    <w:rsid w:val="001749D4"/>
    <w:rsid w:val="00177FC0"/>
    <w:rsid w:val="00184345"/>
    <w:rsid w:val="00184B24"/>
    <w:rsid w:val="00184EE3"/>
    <w:rsid w:val="00194A0C"/>
    <w:rsid w:val="001A0CB9"/>
    <w:rsid w:val="001A6DB7"/>
    <w:rsid w:val="001C1A21"/>
    <w:rsid w:val="001D5750"/>
    <w:rsid w:val="001E1BBC"/>
    <w:rsid w:val="001F409F"/>
    <w:rsid w:val="001F5BC9"/>
    <w:rsid w:val="00201D99"/>
    <w:rsid w:val="0020583B"/>
    <w:rsid w:val="00222E33"/>
    <w:rsid w:val="00224CA0"/>
    <w:rsid w:val="002250FC"/>
    <w:rsid w:val="00241072"/>
    <w:rsid w:val="0024701A"/>
    <w:rsid w:val="0025149C"/>
    <w:rsid w:val="002541F5"/>
    <w:rsid w:val="00256E2F"/>
    <w:rsid w:val="002578E6"/>
    <w:rsid w:val="002604AC"/>
    <w:rsid w:val="0027441D"/>
    <w:rsid w:val="002746A8"/>
    <w:rsid w:val="00275DC5"/>
    <w:rsid w:val="00281140"/>
    <w:rsid w:val="00282B7B"/>
    <w:rsid w:val="00283257"/>
    <w:rsid w:val="0028665C"/>
    <w:rsid w:val="002964CB"/>
    <w:rsid w:val="00296CFA"/>
    <w:rsid w:val="002A1DAF"/>
    <w:rsid w:val="002B17AF"/>
    <w:rsid w:val="002B2915"/>
    <w:rsid w:val="002B2B3A"/>
    <w:rsid w:val="002B6B86"/>
    <w:rsid w:val="002C144D"/>
    <w:rsid w:val="002C1914"/>
    <w:rsid w:val="002C1EC3"/>
    <w:rsid w:val="002D06AF"/>
    <w:rsid w:val="002D0C08"/>
    <w:rsid w:val="002E1FCA"/>
    <w:rsid w:val="002E37F8"/>
    <w:rsid w:val="002E6F71"/>
    <w:rsid w:val="002F3503"/>
    <w:rsid w:val="002F40D8"/>
    <w:rsid w:val="002F6A2B"/>
    <w:rsid w:val="0030297A"/>
    <w:rsid w:val="003045E7"/>
    <w:rsid w:val="00304C1A"/>
    <w:rsid w:val="00315DA3"/>
    <w:rsid w:val="0032364F"/>
    <w:rsid w:val="00325585"/>
    <w:rsid w:val="00325F2A"/>
    <w:rsid w:val="00342A3B"/>
    <w:rsid w:val="0034624C"/>
    <w:rsid w:val="00360B98"/>
    <w:rsid w:val="003656ED"/>
    <w:rsid w:val="00372E9F"/>
    <w:rsid w:val="00392394"/>
    <w:rsid w:val="003924D2"/>
    <w:rsid w:val="003A408D"/>
    <w:rsid w:val="003C688A"/>
    <w:rsid w:val="003C7861"/>
    <w:rsid w:val="003D59C5"/>
    <w:rsid w:val="003E32CB"/>
    <w:rsid w:val="003E70A5"/>
    <w:rsid w:val="003F677D"/>
    <w:rsid w:val="00404828"/>
    <w:rsid w:val="00412AD7"/>
    <w:rsid w:val="00434CB4"/>
    <w:rsid w:val="00440CF5"/>
    <w:rsid w:val="004476A5"/>
    <w:rsid w:val="00455D85"/>
    <w:rsid w:val="00461DDE"/>
    <w:rsid w:val="00486651"/>
    <w:rsid w:val="00486B60"/>
    <w:rsid w:val="0049148E"/>
    <w:rsid w:val="00491646"/>
    <w:rsid w:val="00493F3C"/>
    <w:rsid w:val="004B49C5"/>
    <w:rsid w:val="004B4ADB"/>
    <w:rsid w:val="004C144C"/>
    <w:rsid w:val="004D5CB2"/>
    <w:rsid w:val="004D7D8C"/>
    <w:rsid w:val="004E4D42"/>
    <w:rsid w:val="004F5015"/>
    <w:rsid w:val="004F61A6"/>
    <w:rsid w:val="004F6729"/>
    <w:rsid w:val="005137F5"/>
    <w:rsid w:val="0051450E"/>
    <w:rsid w:val="00515E25"/>
    <w:rsid w:val="00525516"/>
    <w:rsid w:val="00537E4E"/>
    <w:rsid w:val="00546C12"/>
    <w:rsid w:val="0054761B"/>
    <w:rsid w:val="0055535A"/>
    <w:rsid w:val="00561BD2"/>
    <w:rsid w:val="00562D6B"/>
    <w:rsid w:val="00575215"/>
    <w:rsid w:val="00576587"/>
    <w:rsid w:val="005779EC"/>
    <w:rsid w:val="005A592E"/>
    <w:rsid w:val="005A77BB"/>
    <w:rsid w:val="005B5CF4"/>
    <w:rsid w:val="005B6FA9"/>
    <w:rsid w:val="005C0D8A"/>
    <w:rsid w:val="005C3BC6"/>
    <w:rsid w:val="005C565A"/>
    <w:rsid w:val="005F6C42"/>
    <w:rsid w:val="005F7D5E"/>
    <w:rsid w:val="006035B8"/>
    <w:rsid w:val="00607C08"/>
    <w:rsid w:val="00611080"/>
    <w:rsid w:val="00621B77"/>
    <w:rsid w:val="00624B3C"/>
    <w:rsid w:val="00626755"/>
    <w:rsid w:val="00632AF0"/>
    <w:rsid w:val="006412B7"/>
    <w:rsid w:val="00641890"/>
    <w:rsid w:val="00643ACA"/>
    <w:rsid w:val="0067676E"/>
    <w:rsid w:val="00683018"/>
    <w:rsid w:val="0069264C"/>
    <w:rsid w:val="00692CFC"/>
    <w:rsid w:val="006A0C3E"/>
    <w:rsid w:val="006A228F"/>
    <w:rsid w:val="006A61C7"/>
    <w:rsid w:val="006C437C"/>
    <w:rsid w:val="006D44AA"/>
    <w:rsid w:val="006D5169"/>
    <w:rsid w:val="006E2472"/>
    <w:rsid w:val="006E5355"/>
    <w:rsid w:val="006F403F"/>
    <w:rsid w:val="006F532D"/>
    <w:rsid w:val="00701E61"/>
    <w:rsid w:val="00701F15"/>
    <w:rsid w:val="00715B7C"/>
    <w:rsid w:val="00716021"/>
    <w:rsid w:val="0072281D"/>
    <w:rsid w:val="007241C3"/>
    <w:rsid w:val="00731673"/>
    <w:rsid w:val="00735096"/>
    <w:rsid w:val="00737589"/>
    <w:rsid w:val="0074488B"/>
    <w:rsid w:val="007503D8"/>
    <w:rsid w:val="00754C8E"/>
    <w:rsid w:val="007565AD"/>
    <w:rsid w:val="00762434"/>
    <w:rsid w:val="007750D2"/>
    <w:rsid w:val="00780C6B"/>
    <w:rsid w:val="00782BA4"/>
    <w:rsid w:val="00785E34"/>
    <w:rsid w:val="00794DC3"/>
    <w:rsid w:val="00795432"/>
    <w:rsid w:val="007A2DFD"/>
    <w:rsid w:val="007B08CB"/>
    <w:rsid w:val="007C0B24"/>
    <w:rsid w:val="007C2DAC"/>
    <w:rsid w:val="007C5ABE"/>
    <w:rsid w:val="007D061D"/>
    <w:rsid w:val="007E459A"/>
    <w:rsid w:val="007F2486"/>
    <w:rsid w:val="007F4828"/>
    <w:rsid w:val="007F4B0F"/>
    <w:rsid w:val="00832F72"/>
    <w:rsid w:val="00833534"/>
    <w:rsid w:val="008416C5"/>
    <w:rsid w:val="00841E3D"/>
    <w:rsid w:val="00850479"/>
    <w:rsid w:val="008637E8"/>
    <w:rsid w:val="008838FF"/>
    <w:rsid w:val="00883D99"/>
    <w:rsid w:val="008855CF"/>
    <w:rsid w:val="00886CF9"/>
    <w:rsid w:val="008A0A68"/>
    <w:rsid w:val="008A0E3B"/>
    <w:rsid w:val="008A1E6D"/>
    <w:rsid w:val="008A45DB"/>
    <w:rsid w:val="008B32AA"/>
    <w:rsid w:val="008C1BBB"/>
    <w:rsid w:val="008C5AA5"/>
    <w:rsid w:val="008C748D"/>
    <w:rsid w:val="008D46A4"/>
    <w:rsid w:val="008D7004"/>
    <w:rsid w:val="008F42D3"/>
    <w:rsid w:val="008F46D7"/>
    <w:rsid w:val="0090061E"/>
    <w:rsid w:val="00902446"/>
    <w:rsid w:val="0090555D"/>
    <w:rsid w:val="009125D9"/>
    <w:rsid w:val="009241EA"/>
    <w:rsid w:val="0092799C"/>
    <w:rsid w:val="00927A48"/>
    <w:rsid w:val="00943523"/>
    <w:rsid w:val="00945021"/>
    <w:rsid w:val="009559EE"/>
    <w:rsid w:val="00963B70"/>
    <w:rsid w:val="009775E3"/>
    <w:rsid w:val="00977862"/>
    <w:rsid w:val="009924D6"/>
    <w:rsid w:val="009929F6"/>
    <w:rsid w:val="00994B87"/>
    <w:rsid w:val="009A001E"/>
    <w:rsid w:val="009A3EA4"/>
    <w:rsid w:val="009B11EA"/>
    <w:rsid w:val="009B1D98"/>
    <w:rsid w:val="009C0C82"/>
    <w:rsid w:val="009C5EE9"/>
    <w:rsid w:val="009D089A"/>
    <w:rsid w:val="009D23E2"/>
    <w:rsid w:val="009D5AAB"/>
    <w:rsid w:val="009E15B7"/>
    <w:rsid w:val="009F39F0"/>
    <w:rsid w:val="00A016F7"/>
    <w:rsid w:val="00A0206C"/>
    <w:rsid w:val="00A17B04"/>
    <w:rsid w:val="00A21BF7"/>
    <w:rsid w:val="00A27A0C"/>
    <w:rsid w:val="00A30D54"/>
    <w:rsid w:val="00A32210"/>
    <w:rsid w:val="00A35BD3"/>
    <w:rsid w:val="00A36E4C"/>
    <w:rsid w:val="00A4141A"/>
    <w:rsid w:val="00A45DD6"/>
    <w:rsid w:val="00A4722C"/>
    <w:rsid w:val="00A53B87"/>
    <w:rsid w:val="00A56BE4"/>
    <w:rsid w:val="00A762E9"/>
    <w:rsid w:val="00A77F6D"/>
    <w:rsid w:val="00A81452"/>
    <w:rsid w:val="00A819F8"/>
    <w:rsid w:val="00A83D63"/>
    <w:rsid w:val="00A9129A"/>
    <w:rsid w:val="00AA2849"/>
    <w:rsid w:val="00AA3CC0"/>
    <w:rsid w:val="00AB7AA6"/>
    <w:rsid w:val="00AE3A4B"/>
    <w:rsid w:val="00AF008C"/>
    <w:rsid w:val="00B04E67"/>
    <w:rsid w:val="00B0725E"/>
    <w:rsid w:val="00B07AA1"/>
    <w:rsid w:val="00B203B5"/>
    <w:rsid w:val="00B22369"/>
    <w:rsid w:val="00B26960"/>
    <w:rsid w:val="00B372F4"/>
    <w:rsid w:val="00B46BF5"/>
    <w:rsid w:val="00B63000"/>
    <w:rsid w:val="00B741F4"/>
    <w:rsid w:val="00B80F6B"/>
    <w:rsid w:val="00B81E73"/>
    <w:rsid w:val="00BA1B7A"/>
    <w:rsid w:val="00BB0866"/>
    <w:rsid w:val="00BC0AE4"/>
    <w:rsid w:val="00BD3940"/>
    <w:rsid w:val="00BD784F"/>
    <w:rsid w:val="00BE2117"/>
    <w:rsid w:val="00BF1482"/>
    <w:rsid w:val="00BF1909"/>
    <w:rsid w:val="00BF7CAB"/>
    <w:rsid w:val="00C010D2"/>
    <w:rsid w:val="00C013D8"/>
    <w:rsid w:val="00C2069A"/>
    <w:rsid w:val="00C2739E"/>
    <w:rsid w:val="00C3192C"/>
    <w:rsid w:val="00C46AF4"/>
    <w:rsid w:val="00C46CA7"/>
    <w:rsid w:val="00C63692"/>
    <w:rsid w:val="00C646DA"/>
    <w:rsid w:val="00C64ED1"/>
    <w:rsid w:val="00C67559"/>
    <w:rsid w:val="00C67BB0"/>
    <w:rsid w:val="00C74462"/>
    <w:rsid w:val="00C9130B"/>
    <w:rsid w:val="00C92690"/>
    <w:rsid w:val="00C97925"/>
    <w:rsid w:val="00C97AF0"/>
    <w:rsid w:val="00CB2310"/>
    <w:rsid w:val="00CB2662"/>
    <w:rsid w:val="00CB3B20"/>
    <w:rsid w:val="00CB44FA"/>
    <w:rsid w:val="00CB61E1"/>
    <w:rsid w:val="00CC510B"/>
    <w:rsid w:val="00CE7756"/>
    <w:rsid w:val="00CF00D8"/>
    <w:rsid w:val="00CF72E5"/>
    <w:rsid w:val="00D270D1"/>
    <w:rsid w:val="00D27798"/>
    <w:rsid w:val="00D555F2"/>
    <w:rsid w:val="00D82B86"/>
    <w:rsid w:val="00D8405A"/>
    <w:rsid w:val="00D85767"/>
    <w:rsid w:val="00D9007A"/>
    <w:rsid w:val="00D934B3"/>
    <w:rsid w:val="00DB2BD0"/>
    <w:rsid w:val="00DB3557"/>
    <w:rsid w:val="00DB4430"/>
    <w:rsid w:val="00DF6893"/>
    <w:rsid w:val="00E33E61"/>
    <w:rsid w:val="00E41660"/>
    <w:rsid w:val="00E419BB"/>
    <w:rsid w:val="00E43EFE"/>
    <w:rsid w:val="00E52ACE"/>
    <w:rsid w:val="00E56300"/>
    <w:rsid w:val="00E6089A"/>
    <w:rsid w:val="00E62F5E"/>
    <w:rsid w:val="00E674F3"/>
    <w:rsid w:val="00E7257E"/>
    <w:rsid w:val="00E75C8D"/>
    <w:rsid w:val="00E83B04"/>
    <w:rsid w:val="00E83E48"/>
    <w:rsid w:val="00E8499D"/>
    <w:rsid w:val="00E86E59"/>
    <w:rsid w:val="00EA711E"/>
    <w:rsid w:val="00EC0BC6"/>
    <w:rsid w:val="00EC5D2A"/>
    <w:rsid w:val="00ED1503"/>
    <w:rsid w:val="00ED762C"/>
    <w:rsid w:val="00EE65ED"/>
    <w:rsid w:val="00EF058C"/>
    <w:rsid w:val="00EF60CF"/>
    <w:rsid w:val="00EF62EF"/>
    <w:rsid w:val="00F02800"/>
    <w:rsid w:val="00F04D5A"/>
    <w:rsid w:val="00F17047"/>
    <w:rsid w:val="00F32957"/>
    <w:rsid w:val="00F32A71"/>
    <w:rsid w:val="00F41BEF"/>
    <w:rsid w:val="00F52121"/>
    <w:rsid w:val="00F5227D"/>
    <w:rsid w:val="00F60105"/>
    <w:rsid w:val="00F60EA0"/>
    <w:rsid w:val="00F65C9A"/>
    <w:rsid w:val="00F66009"/>
    <w:rsid w:val="00F70C1D"/>
    <w:rsid w:val="00F9148D"/>
    <w:rsid w:val="00F94DA4"/>
    <w:rsid w:val="00FA65FB"/>
    <w:rsid w:val="00FD245E"/>
    <w:rsid w:val="00FD2A1C"/>
    <w:rsid w:val="00FD343D"/>
    <w:rsid w:val="00FE486C"/>
    <w:rsid w:val="00FF2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965929F7-0B83-430D-ACE8-6A9F4E5D2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sz w:val="22"/>
      <w:szCs w:val="22"/>
      <w:lang w:eastAsia="ar-SA"/>
    </w:rPr>
  </w:style>
  <w:style w:type="paragraph" w:styleId="Heading1">
    <w:name w:val="heading 1"/>
    <w:basedOn w:val="Normal"/>
    <w:next w:val="BodyText"/>
    <w:qFormat/>
    <w:pPr>
      <w:keepNext/>
      <w:keepLines/>
      <w:numPr>
        <w:numId w:val="1"/>
      </w:numPr>
      <w:spacing w:before="480" w:after="0"/>
      <w:outlineLvl w:val="0"/>
    </w:pPr>
    <w:rPr>
      <w:rFonts w:ascii="Cambria" w:hAnsi="Cambria" w:cs="font246"/>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sl-SI"/>
    </w:rPr>
  </w:style>
  <w:style w:type="character" w:customStyle="1" w:styleId="CommentSubjectChar">
    <w:name w:val="Comment Subject Char"/>
    <w:rPr>
      <w:b/>
      <w:bCs/>
      <w:lang w:val="sl-SI"/>
    </w:rPr>
  </w:style>
  <w:style w:type="character" w:styleId="Hyperlink">
    <w:name w:val="Hyperlink"/>
    <w:rPr>
      <w:color w:val="0000FF"/>
      <w:u w:val="single"/>
    </w:rPr>
  </w:style>
  <w:style w:type="character" w:customStyle="1" w:styleId="Heading1Char">
    <w:name w:val="Heading 1 Char"/>
    <w:rPr>
      <w:rFonts w:ascii="Cambria" w:hAnsi="Cambria" w:cs="font246"/>
      <w:b/>
      <w:bCs/>
      <w:color w:val="365F91"/>
      <w:sz w:val="28"/>
      <w:szCs w:val="28"/>
    </w:rPr>
  </w:style>
  <w:style w:type="character" w:customStyle="1" w:styleId="WW8Num3z1">
    <w:name w:val="WW8Num3z1"/>
    <w:rPr>
      <w:rFonts w:ascii="Courier New" w:hAnsi="Courier New" w:cs="Courier New"/>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Caracteresdenotafinal">
    <w:name w:val="Caracteres de nota final"/>
  </w:style>
  <w:style w:type="paragraph" w:customStyle="1" w:styleId="Encabezado">
    <w:name w:val="Encabezado"/>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Header">
    <w:name w:val="header"/>
    <w:basedOn w:val="Normal"/>
    <w:pPr>
      <w:suppressLineNumbers/>
      <w:tabs>
        <w:tab w:val="center" w:pos="4536"/>
        <w:tab w:val="right" w:pos="9072"/>
      </w:tabs>
    </w:pPr>
  </w:style>
  <w:style w:type="paragraph" w:styleId="Footer">
    <w:name w:val="footer"/>
    <w:basedOn w:val="Normal"/>
    <w:uiPriority w:val="99"/>
    <w:pPr>
      <w:suppressLineNumbers/>
      <w:tabs>
        <w:tab w:val="center" w:pos="4536"/>
        <w:tab w:val="right" w:pos="9072"/>
      </w:tabs>
    </w:pPr>
  </w:style>
  <w:style w:type="paragraph" w:styleId="BalloonText">
    <w:name w:val="Balloon Text"/>
    <w:basedOn w:val="Normal"/>
    <w:pPr>
      <w:spacing w:after="0" w:line="100" w:lineRule="atLeast"/>
    </w:pPr>
    <w:rPr>
      <w:rFonts w:ascii="Tahoma" w:hAnsi="Tahoma" w:cs="Tahoma"/>
      <w:sz w:val="16"/>
      <w:szCs w:val="16"/>
    </w:rPr>
  </w:style>
  <w:style w:type="paragraph" w:customStyle="1" w:styleId="FootnoteText1">
    <w:name w:val="Footnote Text1"/>
    <w:basedOn w:val="Normal"/>
    <w:rPr>
      <w:sz w:val="20"/>
      <w:szCs w:val="20"/>
    </w:rPr>
  </w:style>
  <w:style w:type="paragraph" w:styleId="ListParagraph">
    <w:name w:val="List Paragraph"/>
    <w:basedOn w:val="Normal"/>
    <w:qFormat/>
    <w:pPr>
      <w:spacing w:after="0" w:line="100" w:lineRule="atLeast"/>
      <w:ind w:left="720"/>
    </w:pPr>
    <w:rPr>
      <w:rFonts w:eastAsia="SimSun" w:cs="Calibri"/>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Revision">
    <w:name w:val="Revision"/>
    <w:pPr>
      <w:suppressAutoHyphens/>
    </w:pPr>
    <w:rPr>
      <w:rFonts w:ascii="Calibri" w:eastAsia="Calibri" w:hAnsi="Calibri"/>
      <w:sz w:val="22"/>
      <w:szCs w:val="22"/>
      <w:lang w:eastAsia="ar-SA"/>
    </w:rPr>
  </w:style>
  <w:style w:type="paragraph" w:customStyle="1" w:styleId="Default">
    <w:name w:val="Default"/>
    <w:pPr>
      <w:suppressAutoHyphens/>
    </w:pPr>
    <w:rPr>
      <w:rFonts w:ascii="Tahoma" w:eastAsia="Calibri" w:hAnsi="Tahoma" w:cs="Tahoma"/>
      <w:color w:val="000000"/>
      <w:sz w:val="24"/>
      <w:szCs w:val="24"/>
      <w:lang w:eastAsia="ar-SA"/>
    </w:rPr>
  </w:style>
  <w:style w:type="paragraph" w:customStyle="1" w:styleId="Guide-Normal">
    <w:name w:val="Guide - Normal"/>
    <w:basedOn w:val="Normal"/>
    <w:pPr>
      <w:spacing w:after="0" w:line="100" w:lineRule="atLeast"/>
      <w:jc w:val="both"/>
    </w:pPr>
    <w:rPr>
      <w:rFonts w:ascii="Tahoma" w:eastAsia="Times New Roman" w:hAnsi="Tahoma" w:cs="Tahoma"/>
      <w:kern w:val="1"/>
      <w:sz w:val="18"/>
      <w:szCs w:val="18"/>
    </w:rPr>
  </w:style>
  <w:style w:type="paragraph" w:customStyle="1" w:styleId="Contact">
    <w:name w:val="Contact"/>
    <w:basedOn w:val="Normal"/>
    <w:pPr>
      <w:spacing w:after="480" w:line="100" w:lineRule="atLeast"/>
      <w:ind w:left="567" w:hanging="567"/>
    </w:pPr>
    <w:rPr>
      <w:rFonts w:ascii="Times New Roman" w:eastAsia="Times New Roman" w:hAnsi="Times New Roman"/>
      <w:sz w:val="24"/>
      <w:szCs w:val="20"/>
    </w:rPr>
  </w:style>
  <w:style w:type="paragraph" w:styleId="ListBullet">
    <w:name w:val="List Bullet"/>
    <w:basedOn w:val="Normal"/>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Normal"/>
    <w:pPr>
      <w:spacing w:after="240" w:line="100" w:lineRule="atLeast"/>
      <w:jc w:val="both"/>
    </w:pPr>
    <w:rPr>
      <w:rFonts w:ascii="Times New Roman" w:eastAsia="Times New Roman" w:hAnsi="Times New Roman"/>
      <w:sz w:val="24"/>
      <w:szCs w:val="20"/>
    </w:rPr>
  </w:style>
  <w:style w:type="paragraph" w:styleId="ListBullet2">
    <w:name w:val="List Bullet 2"/>
    <w:basedOn w:val="Normal"/>
    <w:pPr>
      <w:spacing w:after="240" w:line="100" w:lineRule="atLeast"/>
      <w:jc w:val="both"/>
    </w:pPr>
    <w:rPr>
      <w:rFonts w:ascii="Times New Roman" w:eastAsia="Times New Roman" w:hAnsi="Times New Roman"/>
      <w:sz w:val="24"/>
      <w:szCs w:val="20"/>
    </w:rPr>
  </w:style>
  <w:style w:type="paragraph" w:styleId="ListBullet3">
    <w:name w:val="List Bullet 3"/>
    <w:basedOn w:val="Normal"/>
    <w:pPr>
      <w:spacing w:after="240" w:line="100" w:lineRule="atLeast"/>
      <w:jc w:val="both"/>
    </w:pPr>
    <w:rPr>
      <w:rFonts w:ascii="Times New Roman" w:eastAsia="Times New Roman" w:hAnsi="Times New Roman"/>
      <w:sz w:val="24"/>
      <w:szCs w:val="20"/>
    </w:rPr>
  </w:style>
  <w:style w:type="paragraph" w:styleId="ListBullet4">
    <w:name w:val="List Bullet 4"/>
    <w:basedOn w:val="Normal"/>
    <w:pPr>
      <w:spacing w:after="240" w:line="100" w:lineRule="atLeast"/>
      <w:jc w:val="both"/>
    </w:pPr>
    <w:rPr>
      <w:rFonts w:ascii="Times New Roman" w:eastAsia="Times New Roman" w:hAnsi="Times New Roman"/>
      <w:sz w:val="24"/>
      <w:szCs w:val="20"/>
    </w:rPr>
  </w:style>
  <w:style w:type="paragraph" w:customStyle="1" w:styleId="ListDash">
    <w:name w:val="List Dash"/>
    <w:basedOn w:val="Normal"/>
    <w:pPr>
      <w:spacing w:after="240" w:line="100" w:lineRule="atLeast"/>
      <w:jc w:val="both"/>
    </w:pPr>
    <w:rPr>
      <w:rFonts w:ascii="Times New Roman" w:eastAsia="Times New Roman" w:hAnsi="Times New Roman"/>
      <w:sz w:val="24"/>
      <w:szCs w:val="20"/>
    </w:rPr>
  </w:style>
  <w:style w:type="paragraph" w:customStyle="1" w:styleId="ListDash1">
    <w:name w:val="List Dash 1"/>
    <w:basedOn w:val="Normal"/>
    <w:pPr>
      <w:spacing w:after="240" w:line="100" w:lineRule="atLeast"/>
      <w:jc w:val="both"/>
    </w:pPr>
    <w:rPr>
      <w:rFonts w:ascii="Times New Roman" w:eastAsia="Times New Roman" w:hAnsi="Times New Roman"/>
      <w:sz w:val="24"/>
      <w:szCs w:val="20"/>
    </w:rPr>
  </w:style>
  <w:style w:type="paragraph" w:customStyle="1" w:styleId="ListDash2">
    <w:name w:val="List Dash 2"/>
    <w:basedOn w:val="Normal"/>
    <w:pPr>
      <w:spacing w:after="240" w:line="100" w:lineRule="atLeast"/>
      <w:jc w:val="both"/>
    </w:pPr>
    <w:rPr>
      <w:rFonts w:ascii="Times New Roman" w:eastAsia="Times New Roman" w:hAnsi="Times New Roman"/>
      <w:sz w:val="24"/>
      <w:szCs w:val="20"/>
    </w:rPr>
  </w:style>
  <w:style w:type="paragraph" w:customStyle="1" w:styleId="ListDash3">
    <w:name w:val="List Dash 3"/>
    <w:basedOn w:val="Normal"/>
    <w:pPr>
      <w:spacing w:after="240" w:line="100" w:lineRule="atLeast"/>
      <w:jc w:val="both"/>
    </w:pPr>
    <w:rPr>
      <w:rFonts w:ascii="Times New Roman" w:eastAsia="Times New Roman" w:hAnsi="Times New Roman"/>
      <w:sz w:val="24"/>
      <w:szCs w:val="20"/>
    </w:rPr>
  </w:style>
  <w:style w:type="paragraph" w:customStyle="1" w:styleId="ListDash4">
    <w:name w:val="List Dash 4"/>
    <w:basedOn w:val="Normal"/>
    <w:pPr>
      <w:spacing w:after="240" w:line="100" w:lineRule="atLeast"/>
      <w:jc w:val="both"/>
    </w:pPr>
    <w:rPr>
      <w:rFonts w:ascii="Times New Roman" w:eastAsia="Times New Roman" w:hAnsi="Times New Roman"/>
      <w:sz w:val="24"/>
      <w:szCs w:val="20"/>
    </w:rPr>
  </w:style>
  <w:style w:type="paragraph" w:styleId="ListNumber">
    <w:name w:val="List Number"/>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2">
    <w:name w:val="List Number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3">
    <w:name w:val="List Number 3"/>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4">
    <w:name w:val="List Number 4"/>
    <w:basedOn w:val="Normal"/>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Normal"/>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Normal"/>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Normal"/>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Normal"/>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Normal"/>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Normal"/>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Normal"/>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Normal"/>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Normal"/>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Normal"/>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Normal"/>
    <w:pPr>
      <w:spacing w:after="240" w:line="100" w:lineRule="atLeast"/>
      <w:jc w:val="both"/>
    </w:pPr>
    <w:rPr>
      <w:rFonts w:ascii="Times New Roman" w:eastAsia="Times New Roman" w:hAnsi="Times New Roman"/>
      <w:sz w:val="24"/>
      <w:szCs w:val="20"/>
    </w:rPr>
  </w:style>
  <w:style w:type="paragraph" w:styleId="TOC5">
    <w:name w:val="toc 5"/>
    <w:basedOn w:val="Normal"/>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Normal"/>
    <w:pPr>
      <w:keepNext/>
      <w:suppressLineNumbers/>
      <w:spacing w:before="240" w:after="240" w:line="100" w:lineRule="atLeast"/>
      <w:jc w:val="center"/>
    </w:pPr>
    <w:rPr>
      <w:rFonts w:ascii="Times New Roman" w:eastAsia="Times New Roman" w:hAnsi="Times New Roman"/>
      <w:b/>
      <w:bCs/>
      <w:sz w:val="24"/>
      <w:szCs w:val="20"/>
    </w:rPr>
  </w:style>
  <w:style w:type="paragraph" w:styleId="FootnoteText">
    <w:name w:val="footnote text"/>
    <w:basedOn w:val="Normal"/>
    <w:pPr>
      <w:suppressLineNumbers/>
      <w:ind w:left="283" w:hanging="283"/>
    </w:pPr>
    <w:rPr>
      <w:sz w:val="20"/>
      <w:szCs w:val="20"/>
    </w:rPr>
  </w:style>
  <w:style w:type="character" w:styleId="CommentReference">
    <w:name w:val="annotation reference"/>
    <w:uiPriority w:val="99"/>
    <w:semiHidden/>
    <w:unhideWhenUsed/>
    <w:rsid w:val="00683018"/>
    <w:rPr>
      <w:sz w:val="16"/>
      <w:szCs w:val="16"/>
    </w:rPr>
  </w:style>
  <w:style w:type="paragraph" w:styleId="CommentText">
    <w:name w:val="annotation text"/>
    <w:basedOn w:val="Normal"/>
    <w:link w:val="CommentTextChar1"/>
    <w:uiPriority w:val="99"/>
    <w:semiHidden/>
    <w:unhideWhenUsed/>
    <w:rsid w:val="00683018"/>
    <w:rPr>
      <w:sz w:val="20"/>
      <w:szCs w:val="20"/>
    </w:rPr>
  </w:style>
  <w:style w:type="character" w:customStyle="1" w:styleId="CommentTextChar1">
    <w:name w:val="Comment Text Char1"/>
    <w:link w:val="CommentText"/>
    <w:uiPriority w:val="99"/>
    <w:semiHidden/>
    <w:rsid w:val="00683018"/>
    <w:rPr>
      <w:rFonts w:ascii="Calibri" w:eastAsia="Calibri" w:hAnsi="Calibri"/>
      <w:lang w:eastAsia="ar-SA"/>
    </w:rPr>
  </w:style>
  <w:style w:type="paragraph" w:styleId="CommentSubject">
    <w:name w:val="annotation subject"/>
    <w:basedOn w:val="CommentText"/>
    <w:next w:val="CommentText"/>
    <w:link w:val="CommentSubjectChar1"/>
    <w:uiPriority w:val="99"/>
    <w:semiHidden/>
    <w:unhideWhenUsed/>
    <w:rsid w:val="00683018"/>
    <w:rPr>
      <w:b/>
      <w:bCs/>
    </w:rPr>
  </w:style>
  <w:style w:type="character" w:customStyle="1" w:styleId="CommentSubjectChar1">
    <w:name w:val="Comment Subject Char1"/>
    <w:link w:val="CommentSubject"/>
    <w:uiPriority w:val="99"/>
    <w:semiHidden/>
    <w:rsid w:val="00683018"/>
    <w:rPr>
      <w:rFonts w:ascii="Calibri" w:eastAsia="Calibri" w:hAnsi="Calibri"/>
      <w:b/>
      <w:bCs/>
      <w:lang w:eastAsia="ar-SA"/>
    </w:rPr>
  </w:style>
  <w:style w:type="paragraph" w:styleId="NoSpacing">
    <w:name w:val="No Spacing"/>
    <w:uiPriority w:val="1"/>
    <w:qFormat/>
    <w:rsid w:val="00715B7C"/>
    <w:pPr>
      <w:suppressAutoHyphens/>
    </w:pPr>
    <w:rPr>
      <w:rFonts w:ascii="Calibri" w:eastAsia="Calibri"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0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c.europa.eu/programmes/erasmus-plus/tools/distance_sl.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MHM</Leader_x0020__x0028_staff_x0020_member_x0029_>
    <Final_x0020_date_x0020_of_x0020_delivery xmlns="cfd06d9f-862c-4359-9a69-c66ff689f26a">2018-01-14T23:00:00+00:00</Final_x0020_date_x0020_of_x0020_delivery>
    <Leader_x0020__x0028_unit_x0029_ xmlns="cfd06d9f-862c-4359-9a69-c66ff689f26a">B4</Leader_x0020__x0028_unit_x0029_>
    <_x0070_gc6 xmlns="cfd06d9f-862c-4359-9a69-c66ff689f26a" xsi:nil="true"/>
    <Next_x0020_date_x0020_of_x0020_delivery xmlns="cfd06d9f-862c-4359-9a69-c66ff689f26a">2017-09-28T22:00:00+00:00</Next_x0020_date_x0020_of_x0020_delivery>
    <Document xmlns="cfd06d9f-862c-4359-9a69-c66ff689f26a">E+ Grant agreements (master files)</Document>
    <Year xmlns="cfd06d9f-862c-4359-9a69-c66ff689f26a">2018</Year>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9425D-34D5-4790-B8D0-F4E9F77DF38A}">
  <ds:schemaRefs>
    <ds:schemaRef ds:uri="http://schemas.microsoft.com/sharepoint/v3/contenttype/forms"/>
  </ds:schemaRefs>
</ds:datastoreItem>
</file>

<file path=customXml/itemProps2.xml><?xml version="1.0" encoding="utf-8"?>
<ds:datastoreItem xmlns:ds="http://schemas.openxmlformats.org/officeDocument/2006/customXml" ds:itemID="{1419EBE0-0531-412F-9B2F-96B05D46749B}">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244673AC-6DE3-4BD5-A652-F9B0DF34D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2A738D-1E70-43E7-AC1F-6538B94723D4}">
  <ds:schemaRefs>
    <ds:schemaRef ds:uri="http://schemas.microsoft.com/office/2006/metadata/longProperties"/>
  </ds:schemaRefs>
</ds:datastoreItem>
</file>

<file path=customXml/itemProps5.xml><?xml version="1.0" encoding="utf-8"?>
<ds:datastoreItem xmlns:ds="http://schemas.openxmlformats.org/officeDocument/2006/customXml" ds:itemID="{95B7324F-AD4B-470E-BDB8-421C1EF14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12</Pages>
  <Words>3568</Words>
  <Characters>20344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23865</CharactersWithSpaces>
  <SharedDoc>false</SharedDoc>
  <HLinks>
    <vt:vector size="18" baseType="variant">
      <vt:variant>
        <vt:i4>917630</vt:i4>
      </vt:variant>
      <vt:variant>
        <vt:i4>6</vt:i4>
      </vt:variant>
      <vt:variant>
        <vt:i4>0</vt:i4>
      </vt:variant>
      <vt:variant>
        <vt:i4>5</vt:i4>
      </vt:variant>
      <vt:variant>
        <vt:lpwstr>http://ec.europa.eu/programmes/erasmus-plus/tools/distance_en.htm</vt:lpwstr>
      </vt:variant>
      <vt:variant>
        <vt:lpwstr/>
      </vt:variant>
      <vt:variant>
        <vt:i4>917630</vt:i4>
      </vt:variant>
      <vt:variant>
        <vt:i4>3</vt:i4>
      </vt:variant>
      <vt:variant>
        <vt:i4>0</vt:i4>
      </vt:variant>
      <vt:variant>
        <vt:i4>5</vt:i4>
      </vt:variant>
      <vt:variant>
        <vt:lpwstr>http://ec.europa.eu/programmes/erasmus-plus/tools/distance_en.htm</vt:lpwstr>
      </vt:variant>
      <vt:variant>
        <vt:lpwstr/>
      </vt:variant>
      <vt:variant>
        <vt:i4>917630</vt:i4>
      </vt:variant>
      <vt:variant>
        <vt:i4>0</vt:i4>
      </vt:variant>
      <vt:variant>
        <vt:i4>0</vt:i4>
      </vt:variant>
      <vt:variant>
        <vt:i4>5</vt:i4>
      </vt:variant>
      <vt:variant>
        <vt:lpwstr>http://ec.europa.eu/programmes/erasmus-plus/tools/distance_en.htm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Uroš Skrinar</cp:lastModifiedBy>
  <cp:revision>12</cp:revision>
  <cp:lastPrinted>2017-02-28T14:14:00Z</cp:lastPrinted>
  <dcterms:created xsi:type="dcterms:W3CDTF">2018-02-12T10:07:00Z</dcterms:created>
  <dcterms:modified xsi:type="dcterms:W3CDTF">2018-04-23T09:03:00Z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Revision2017</vt:lpwstr>
  </property>
  <property fmtid="{D5CDD505-2E9C-101B-9397-08002B2CF9AE}" pid="16" name="Working group REF DOC meeting">
    <vt:lpwstr/>
  </property>
</Properties>
</file>