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85C81" w14:textId="77777777" w:rsidR="006A7B77" w:rsidRPr="00D40FC0" w:rsidRDefault="006A7B77">
      <w:pPr>
        <w:spacing w:after="200" w:line="276" w:lineRule="auto"/>
        <w:jc w:val="center"/>
        <w:rPr>
          <w:rFonts w:eastAsia="Calibri"/>
          <w:b/>
          <w:lang w:val="sl-SI"/>
        </w:rPr>
      </w:pPr>
    </w:p>
    <w:p w14:paraId="0611972F" w14:textId="77777777" w:rsidR="006A7B77" w:rsidRPr="00D40FC0" w:rsidRDefault="00093F2B">
      <w:pPr>
        <w:spacing w:after="200" w:line="276" w:lineRule="auto"/>
        <w:jc w:val="center"/>
        <w:rPr>
          <w:rFonts w:eastAsia="Calibri"/>
          <w:b/>
          <w:lang w:val="sl-SI"/>
        </w:rPr>
      </w:pPr>
      <w:r w:rsidRPr="00D40FC0">
        <w:rPr>
          <w:rFonts w:eastAsia="Calibri"/>
          <w:b/>
          <w:lang w:val="sl-SI"/>
        </w:rPr>
        <w:t xml:space="preserve">OKVIRNI SPORAZUM O PARTNERSTVU </w:t>
      </w:r>
      <w:r w:rsidR="00654D71">
        <w:rPr>
          <w:rFonts w:eastAsia="Calibri"/>
          <w:b/>
          <w:lang w:val="sl-SI"/>
        </w:rPr>
        <w:t>ZA PROSTOVOLJSTVO</w:t>
      </w:r>
    </w:p>
    <w:p w14:paraId="6BE1A323" w14:textId="77777777" w:rsidR="006A7B77" w:rsidRPr="00D40FC0" w:rsidRDefault="00093F2B">
      <w:pPr>
        <w:spacing w:after="200" w:line="276" w:lineRule="auto"/>
        <w:jc w:val="center"/>
        <w:rPr>
          <w:rFonts w:eastAsia="Calibri"/>
          <w:b/>
          <w:lang w:val="sl-SI"/>
        </w:rPr>
      </w:pPr>
      <w:r w:rsidRPr="00D40FC0">
        <w:rPr>
          <w:rFonts w:eastAsia="Calibri"/>
          <w:b/>
          <w:lang w:val="sl-SI"/>
        </w:rPr>
        <w:t xml:space="preserve">ZA </w:t>
      </w:r>
      <w:r w:rsidR="00807FBC" w:rsidRPr="00D40FC0">
        <w:rPr>
          <w:rFonts w:eastAsia="Calibri"/>
          <w:b/>
          <w:lang w:val="sl-SI"/>
        </w:rPr>
        <w:t>DODELITEV NEPOVRATNIH SREDSTEV</w:t>
      </w:r>
      <w:r w:rsidRPr="00D40FC0">
        <w:rPr>
          <w:rFonts w:eastAsia="Calibri"/>
          <w:b/>
          <w:lang w:val="sl-SI"/>
        </w:rPr>
        <w:t xml:space="preserve"> </w:t>
      </w:r>
      <w:r w:rsidR="00654D71">
        <w:rPr>
          <w:rFonts w:eastAsia="Calibri"/>
          <w:b/>
          <w:lang w:val="sl-SI"/>
        </w:rPr>
        <w:t xml:space="preserve">PROJEKTOM PROSTOVOLJSTVA </w:t>
      </w:r>
      <w:r w:rsidR="00807FBC" w:rsidRPr="00D40FC0">
        <w:rPr>
          <w:rFonts w:eastAsia="Calibri"/>
          <w:b/>
          <w:lang w:val="sl-SI"/>
        </w:rPr>
        <w:t xml:space="preserve"> </w:t>
      </w:r>
      <w:r w:rsidRPr="00D40FC0">
        <w:rPr>
          <w:rFonts w:eastAsia="Calibri"/>
          <w:b/>
          <w:lang w:val="sl-SI"/>
        </w:rPr>
        <w:t>V OKVIRU EVROPSKE SOLIDARNOSTNE ENOTE</w:t>
      </w:r>
      <w:r w:rsidRPr="00D40FC0">
        <w:rPr>
          <w:rStyle w:val="FootnoteReference"/>
          <w:rFonts w:eastAsia="Calibri"/>
          <w:b/>
          <w:lang w:val="sl-SI"/>
        </w:rPr>
        <w:footnoteReference w:id="1"/>
      </w:r>
    </w:p>
    <w:p w14:paraId="4A3C7757" w14:textId="77777777" w:rsidR="006A7B77" w:rsidRPr="00D40FC0" w:rsidRDefault="00093F2B">
      <w:pPr>
        <w:jc w:val="center"/>
        <w:rPr>
          <w:b/>
          <w:lang w:val="sl-SI"/>
        </w:rPr>
      </w:pPr>
      <w:r w:rsidRPr="00D40FC0">
        <w:rPr>
          <w:rFonts w:eastAsia="Calibri"/>
          <w:b/>
          <w:lang w:val="sl-SI"/>
        </w:rPr>
        <w:t>ŠTEVILKA OKVIRNEGA SPORAZUMA -</w:t>
      </w:r>
    </w:p>
    <w:p w14:paraId="0CBB27BD" w14:textId="77777777" w:rsidR="006A7B77" w:rsidRPr="00D40FC0" w:rsidRDefault="00093F2B">
      <w:pPr>
        <w:jc w:val="center"/>
        <w:rPr>
          <w:b/>
          <w:lang w:val="sl-SI"/>
        </w:rPr>
      </w:pPr>
      <w:r w:rsidRPr="00D40FC0">
        <w:rPr>
          <w:b/>
          <w:lang w:val="sl-SI"/>
        </w:rPr>
        <w:t>[</w:t>
      </w:r>
      <w:r w:rsidRPr="00654D71">
        <w:rPr>
          <w:b/>
          <w:color w:val="000000"/>
          <w:highlight w:val="yellow"/>
          <w:lang w:val="sl-SI"/>
        </w:rPr>
        <w:t>Generiran</w:t>
      </w:r>
      <w:r w:rsidR="001D7FB9" w:rsidRPr="00654D71">
        <w:rPr>
          <w:b/>
          <w:color w:val="000000"/>
          <w:highlight w:val="yellow"/>
          <w:lang w:val="sl-SI"/>
        </w:rPr>
        <w:t xml:space="preserve">a </w:t>
      </w:r>
      <w:r w:rsidRPr="00654D71">
        <w:rPr>
          <w:b/>
          <w:color w:val="000000"/>
          <w:highlight w:val="yellow"/>
          <w:lang w:val="sl-SI"/>
        </w:rPr>
        <w:t>št. EPLUS LINK]</w:t>
      </w:r>
    </w:p>
    <w:p w14:paraId="02F03D0E" w14:textId="77777777" w:rsidR="006A7B77" w:rsidRPr="00D40FC0" w:rsidRDefault="006A7B77">
      <w:pPr>
        <w:spacing w:after="200" w:line="276" w:lineRule="auto"/>
        <w:jc w:val="center"/>
        <w:rPr>
          <w:rFonts w:eastAsia="Calibri"/>
          <w:lang w:val="sl-SI"/>
        </w:rPr>
      </w:pPr>
    </w:p>
    <w:p w14:paraId="5562E8D3" w14:textId="77777777" w:rsidR="006A7B77" w:rsidRPr="00D40FC0" w:rsidRDefault="006A7B77">
      <w:pPr>
        <w:spacing w:after="200" w:line="276" w:lineRule="auto"/>
        <w:jc w:val="center"/>
        <w:rPr>
          <w:rFonts w:eastAsia="Calibri"/>
          <w:lang w:val="sl-SI"/>
        </w:rPr>
      </w:pPr>
    </w:p>
    <w:p w14:paraId="4E8ABCF9" w14:textId="77777777" w:rsidR="006A7B77" w:rsidRPr="00D40FC0" w:rsidRDefault="00093F2B">
      <w:pPr>
        <w:jc w:val="both"/>
        <w:rPr>
          <w:lang w:val="sl-SI"/>
        </w:rPr>
      </w:pPr>
      <w:r w:rsidRPr="00D40FC0">
        <w:rPr>
          <w:lang w:val="sl-SI"/>
        </w:rPr>
        <w:t>Ta okvirni sporazum o partnerstvu ("okvirni sporazum") je sklenjen med naslednjimi strankami:</w:t>
      </w:r>
    </w:p>
    <w:p w14:paraId="3B807087" w14:textId="77777777" w:rsidR="006A7B77" w:rsidRPr="00D40FC0" w:rsidRDefault="006A7B77">
      <w:pPr>
        <w:jc w:val="both"/>
        <w:rPr>
          <w:lang w:val="sl-SI"/>
        </w:rPr>
      </w:pPr>
    </w:p>
    <w:p w14:paraId="4969BD3D" w14:textId="77777777" w:rsidR="006A7B77" w:rsidRPr="00D40FC0" w:rsidRDefault="00093F2B">
      <w:pPr>
        <w:jc w:val="both"/>
        <w:rPr>
          <w:lang w:val="sl-SI"/>
        </w:rPr>
      </w:pPr>
      <w:r w:rsidRPr="00D40FC0">
        <w:rPr>
          <w:lang w:val="sl-SI"/>
        </w:rPr>
        <w:t>Na eni strani,</w:t>
      </w:r>
    </w:p>
    <w:p w14:paraId="788DB0F6" w14:textId="77777777" w:rsidR="006A7B77" w:rsidRPr="00D40FC0" w:rsidRDefault="006A7B77">
      <w:pPr>
        <w:rPr>
          <w:shd w:val="clear" w:color="auto" w:fill="C0C0C0"/>
          <w:lang w:val="sl-SI"/>
        </w:rPr>
      </w:pPr>
    </w:p>
    <w:p w14:paraId="361993C5" w14:textId="2C977BEC" w:rsidR="00C079CC" w:rsidRPr="00E17FAD" w:rsidRDefault="00C079CC" w:rsidP="00C079CC">
      <w:pPr>
        <w:pStyle w:val="NoSpacing"/>
        <w:rPr>
          <w:b/>
        </w:rPr>
      </w:pPr>
      <w:r w:rsidRPr="00E17FAD">
        <w:rPr>
          <w:b/>
        </w:rPr>
        <w:t>Movit, Zavod za razvoj mobilnosti mladih</w:t>
      </w:r>
    </w:p>
    <w:p w14:paraId="0E46BED7" w14:textId="77777777" w:rsidR="00C079CC" w:rsidRPr="00E17FAD" w:rsidRDefault="00C079CC" w:rsidP="00C079CC">
      <w:pPr>
        <w:pStyle w:val="NoSpacing"/>
      </w:pPr>
      <w:r w:rsidRPr="00E17FAD">
        <w:t>Dunajska cesta 5, 1000 Ljubljana, Slovenija</w:t>
      </w:r>
    </w:p>
    <w:p w14:paraId="4B140284" w14:textId="77777777" w:rsidR="00C079CC" w:rsidRPr="00E17FAD" w:rsidRDefault="00C079CC" w:rsidP="00C079CC">
      <w:pPr>
        <w:pStyle w:val="NoSpacing"/>
      </w:pPr>
      <w:r w:rsidRPr="00E17FAD">
        <w:t>Matična številka: 1199013001</w:t>
      </w:r>
    </w:p>
    <w:p w14:paraId="59B15592" w14:textId="65411F84" w:rsidR="00C079CC" w:rsidRDefault="00C079CC" w:rsidP="00C079CC">
      <w:pPr>
        <w:pStyle w:val="NoSpacing"/>
      </w:pPr>
      <w:r w:rsidRPr="00E17FAD">
        <w:t xml:space="preserve">ID številka za DDV: </w:t>
      </w:r>
      <w:r w:rsidR="003C6F42">
        <w:t>SI</w:t>
      </w:r>
      <w:r w:rsidRPr="00E17FAD">
        <w:t>87660407</w:t>
      </w:r>
    </w:p>
    <w:p w14:paraId="3AA0FDC2" w14:textId="77777777" w:rsidR="00C079CC" w:rsidRDefault="00C079CC" w:rsidP="00C079CC">
      <w:pPr>
        <w:pStyle w:val="NoSpacing"/>
      </w:pPr>
    </w:p>
    <w:p w14:paraId="3653BD40" w14:textId="7B253570" w:rsidR="006A7B77" w:rsidRPr="00D40FC0" w:rsidRDefault="00093F2B">
      <w:pPr>
        <w:jc w:val="both"/>
        <w:rPr>
          <w:lang w:val="sl-SI"/>
        </w:rPr>
      </w:pPr>
      <w:r w:rsidRPr="00D40FC0">
        <w:rPr>
          <w:b/>
          <w:lang w:val="sl-SI"/>
        </w:rPr>
        <w:t>Nacionalna agencija</w:t>
      </w:r>
      <w:r w:rsidRPr="00D40FC0">
        <w:rPr>
          <w:lang w:val="sl-SI"/>
        </w:rPr>
        <w:t xml:space="preserve"> (v nadaljnjem besedilu "NA"), ki jo za namene podpisa tega posebnega sporazuma zastopa </w:t>
      </w:r>
      <w:r w:rsidR="00C079CC" w:rsidRPr="00FE29A7">
        <w:t>direktor Uroš Skrinar</w:t>
      </w:r>
      <w:r w:rsidR="00C079CC">
        <w:rPr>
          <w:lang w:val="sl-SI"/>
        </w:rPr>
        <w:t xml:space="preserve">, </w:t>
      </w:r>
      <w:r w:rsidRPr="00D40FC0">
        <w:rPr>
          <w:lang w:val="sl-SI"/>
        </w:rPr>
        <w:t>ki deluje pod pooblastilom Evropske komisije (v nadaljnjem besedilu: Komisija),</w:t>
      </w:r>
    </w:p>
    <w:p w14:paraId="459021A8" w14:textId="77777777" w:rsidR="006A7B77" w:rsidRDefault="00D40FC0">
      <w:pPr>
        <w:rPr>
          <w:b/>
          <w:lang w:val="sl-SI"/>
        </w:rPr>
      </w:pPr>
      <w:r>
        <w:rPr>
          <w:b/>
          <w:lang w:val="sl-SI"/>
        </w:rPr>
        <w:t>i</w:t>
      </w:r>
      <w:r w:rsidR="00093F2B" w:rsidRPr="00D40FC0">
        <w:rPr>
          <w:b/>
          <w:lang w:val="sl-SI"/>
        </w:rPr>
        <w:t>n</w:t>
      </w:r>
    </w:p>
    <w:p w14:paraId="456808F7" w14:textId="77777777" w:rsidR="00D40FC0" w:rsidRPr="00D40FC0" w:rsidRDefault="00D40FC0">
      <w:pPr>
        <w:rPr>
          <w:b/>
          <w:lang w:val="sl-SI"/>
        </w:rPr>
      </w:pPr>
    </w:p>
    <w:p w14:paraId="432CCAE4" w14:textId="688AD472" w:rsidR="006A7B77" w:rsidRDefault="007A5379">
      <w:pPr>
        <w:jc w:val="both"/>
        <w:rPr>
          <w:lang w:val="sl-SI"/>
        </w:rPr>
      </w:pPr>
      <w:r>
        <w:rPr>
          <w:lang w:val="sl-SI"/>
        </w:rPr>
        <w:t>na drugi strani</w:t>
      </w:r>
    </w:p>
    <w:p w14:paraId="04AE83C6" w14:textId="77777777" w:rsidR="00BC7864" w:rsidRPr="00D40FC0" w:rsidRDefault="00BC7864">
      <w:pPr>
        <w:jc w:val="both"/>
        <w:rPr>
          <w:lang w:val="sl-SI"/>
        </w:rPr>
      </w:pPr>
    </w:p>
    <w:p w14:paraId="28705A88" w14:textId="726103C3" w:rsidR="006A7B77" w:rsidRDefault="00093F2B">
      <w:pPr>
        <w:jc w:val="both"/>
        <w:rPr>
          <w:lang w:val="sl-SI"/>
        </w:rPr>
      </w:pPr>
      <w:r w:rsidRPr="00D40FC0">
        <w:rPr>
          <w:lang w:val="sl-SI"/>
        </w:rPr>
        <w:t>"partner"</w:t>
      </w:r>
    </w:p>
    <w:p w14:paraId="0EDA45DB" w14:textId="77777777" w:rsidR="00BC7864" w:rsidRPr="00D40FC0" w:rsidRDefault="00BC7864">
      <w:pPr>
        <w:jc w:val="both"/>
        <w:rPr>
          <w:lang w:val="sl-SI"/>
        </w:rPr>
      </w:pPr>
    </w:p>
    <w:p w14:paraId="794DD4BE" w14:textId="3CB35BBD" w:rsidR="006A7B77" w:rsidRPr="00D40FC0" w:rsidRDefault="00654D71">
      <w:pPr>
        <w:rPr>
          <w:shd w:val="clear" w:color="auto" w:fill="C0C0C0"/>
          <w:lang w:val="sl-SI"/>
        </w:rPr>
      </w:pPr>
      <w:r>
        <w:rPr>
          <w:shd w:val="clear" w:color="auto" w:fill="C0C0C0"/>
          <w:lang w:val="sl-SI"/>
        </w:rPr>
        <w:t>[polno uradno ime</w:t>
      </w:r>
      <w:r w:rsidR="00C079CC">
        <w:rPr>
          <w:shd w:val="clear" w:color="auto" w:fill="C0C0C0"/>
          <w:lang w:val="sl-SI"/>
        </w:rPr>
        <w:t xml:space="preserve"> </w:t>
      </w:r>
      <w:r w:rsidR="00302F3A">
        <w:rPr>
          <w:shd w:val="clear" w:color="auto" w:fill="C0C0C0"/>
          <w:lang w:val="sl-SI"/>
        </w:rPr>
        <w:t>partnerja</w:t>
      </w:r>
      <w:r w:rsidR="00093F2B" w:rsidRPr="00D40FC0">
        <w:rPr>
          <w:shd w:val="clear" w:color="auto" w:fill="C0C0C0"/>
          <w:lang w:val="sl-SI"/>
        </w:rPr>
        <w:t>]</w:t>
      </w:r>
    </w:p>
    <w:p w14:paraId="39E765D9" w14:textId="522F0A01" w:rsidR="006A7B77" w:rsidRDefault="00093F2B">
      <w:pPr>
        <w:rPr>
          <w:i/>
          <w:shd w:val="clear" w:color="auto" w:fill="C0C0C0"/>
          <w:lang w:val="sl-SI"/>
        </w:rPr>
      </w:pPr>
      <w:r w:rsidRPr="00D40FC0">
        <w:rPr>
          <w:shd w:val="clear" w:color="auto" w:fill="C0C0C0"/>
          <w:lang w:val="sl-SI"/>
        </w:rPr>
        <w:t xml:space="preserve">[uradna pravna oblika] </w:t>
      </w:r>
      <w:r w:rsidRPr="00D40FC0">
        <w:rPr>
          <w:i/>
          <w:shd w:val="clear" w:color="auto" w:fill="C0C0C0"/>
          <w:lang w:val="sl-SI"/>
        </w:rPr>
        <w:t>[če se uporablja]</w:t>
      </w:r>
    </w:p>
    <w:p w14:paraId="719F9D8E" w14:textId="0BCA805C" w:rsidR="00B52DF5" w:rsidRPr="00D40FC0" w:rsidRDefault="00B52DF5">
      <w:pPr>
        <w:rPr>
          <w:shd w:val="clear" w:color="auto" w:fill="C0C0C0"/>
          <w:lang w:val="sl-SI"/>
        </w:rPr>
      </w:pPr>
      <w:r>
        <w:rPr>
          <w:snapToGrid w:val="0"/>
          <w:lang w:val="sl-SI"/>
        </w:rPr>
        <w:t>Matična številka:</w:t>
      </w:r>
      <w:r w:rsidRPr="00B52DF5">
        <w:rPr>
          <w:i/>
          <w:shd w:val="clear" w:color="auto" w:fill="C0C0C0"/>
          <w:lang w:val="sl-SI"/>
        </w:rPr>
        <w:t xml:space="preserve"> </w:t>
      </w:r>
      <w:r w:rsidRPr="00D40FC0">
        <w:rPr>
          <w:i/>
          <w:shd w:val="clear" w:color="auto" w:fill="C0C0C0"/>
          <w:lang w:val="sl-SI"/>
        </w:rPr>
        <w:t>[če se uporablja]</w:t>
      </w:r>
    </w:p>
    <w:p w14:paraId="5E818365" w14:textId="057E9BD0" w:rsidR="006A7B77" w:rsidRDefault="00093F2B">
      <w:pPr>
        <w:rPr>
          <w:shd w:val="clear" w:color="auto" w:fill="C0C0C0"/>
          <w:lang w:val="sl-SI"/>
        </w:rPr>
      </w:pPr>
      <w:r w:rsidRPr="00D40FC0">
        <w:rPr>
          <w:shd w:val="clear" w:color="auto" w:fill="C0C0C0"/>
          <w:lang w:val="sl-SI"/>
        </w:rPr>
        <w:t>[polni uradni naslov]</w:t>
      </w:r>
    </w:p>
    <w:p w14:paraId="1A23CA85" w14:textId="48ED38F5" w:rsidR="00B52DF5" w:rsidRPr="00D40FC0" w:rsidRDefault="00B52DF5">
      <w:pPr>
        <w:rPr>
          <w:shd w:val="clear" w:color="auto" w:fill="C0C0C0"/>
          <w:lang w:val="sl-SI"/>
        </w:rPr>
      </w:pPr>
      <w:r>
        <w:rPr>
          <w:snapToGrid w:val="0"/>
          <w:lang w:val="sl-SI"/>
        </w:rPr>
        <w:t xml:space="preserve">ID številka za DDV/ Davčna številka: </w:t>
      </w:r>
      <w:r w:rsidRPr="00D40FC0">
        <w:rPr>
          <w:i/>
          <w:shd w:val="clear" w:color="auto" w:fill="C0C0C0"/>
          <w:lang w:val="sl-SI"/>
        </w:rPr>
        <w:t>[če se uporablja</w:t>
      </w:r>
    </w:p>
    <w:p w14:paraId="44A775B1" w14:textId="675AD0A7" w:rsidR="00B52DF5" w:rsidRPr="00D40FC0" w:rsidRDefault="00B52DF5" w:rsidP="00B52DF5">
      <w:pPr>
        <w:rPr>
          <w:shd w:val="clear" w:color="auto" w:fill="C0C0C0"/>
          <w:lang w:val="sl-SI"/>
        </w:rPr>
      </w:pPr>
      <w:r>
        <w:rPr>
          <w:snapToGrid w:val="0"/>
          <w:lang w:val="sl-SI"/>
        </w:rPr>
        <w:t>Koda PIC:</w:t>
      </w:r>
      <w:r w:rsidRPr="00B52DF5">
        <w:rPr>
          <w:shd w:val="clear" w:color="auto" w:fill="C0C0C0"/>
          <w:lang w:val="sl-SI"/>
        </w:rPr>
        <w:t xml:space="preserve"> </w:t>
      </w:r>
      <w:r>
        <w:rPr>
          <w:shd w:val="clear" w:color="auto" w:fill="C0C0C0"/>
          <w:lang w:val="sl-SI"/>
        </w:rPr>
        <w:t>[koda</w:t>
      </w:r>
      <w:r w:rsidRPr="00D40FC0">
        <w:rPr>
          <w:shd w:val="clear" w:color="auto" w:fill="C0C0C0"/>
          <w:lang w:val="sl-SI"/>
        </w:rPr>
        <w:t xml:space="preserve"> PIC],</w:t>
      </w:r>
    </w:p>
    <w:p w14:paraId="76999C0A" w14:textId="69198D18" w:rsidR="006A7B77" w:rsidRPr="00D40FC0" w:rsidRDefault="00093F2B">
      <w:pPr>
        <w:jc w:val="both"/>
        <w:rPr>
          <w:i/>
          <w:snapToGrid w:val="0"/>
          <w:lang w:val="sl-SI"/>
        </w:rPr>
      </w:pPr>
      <w:r w:rsidRPr="00D40FC0">
        <w:rPr>
          <w:shd w:val="clear" w:color="auto" w:fill="00FFFF"/>
          <w:lang w:val="sl-SI"/>
        </w:rPr>
        <w:br/>
      </w:r>
    </w:p>
    <w:p w14:paraId="7E041607" w14:textId="77777777" w:rsidR="006A7B77" w:rsidRPr="00D40FC0" w:rsidRDefault="00654D71">
      <w:pPr>
        <w:rPr>
          <w:snapToGrid w:val="0"/>
          <w:lang w:val="sl-SI"/>
        </w:rPr>
      </w:pPr>
      <w:r>
        <w:rPr>
          <w:snapToGrid w:val="0"/>
          <w:lang w:val="sl-SI"/>
        </w:rPr>
        <w:t>Številka</w:t>
      </w:r>
      <w:r w:rsidR="00093F2B" w:rsidRPr="00D40FC0">
        <w:rPr>
          <w:snapToGrid w:val="0"/>
          <w:lang w:val="sl-SI"/>
        </w:rPr>
        <w:t xml:space="preserve"> </w:t>
      </w:r>
      <w:r w:rsidR="001D7FB9" w:rsidRPr="00D40FC0">
        <w:rPr>
          <w:snapToGrid w:val="0"/>
          <w:lang w:val="sl-SI"/>
        </w:rPr>
        <w:t>znaka</w:t>
      </w:r>
      <w:r w:rsidR="00093F2B" w:rsidRPr="00D40FC0">
        <w:rPr>
          <w:snapToGrid w:val="0"/>
          <w:lang w:val="sl-SI"/>
        </w:rPr>
        <w:t xml:space="preserve"> kakovosti [</w:t>
      </w:r>
      <w:r w:rsidR="001D7FB9" w:rsidRPr="00D40FC0">
        <w:rPr>
          <w:snapToGrid w:val="0"/>
          <w:highlight w:val="lightGray"/>
          <w:lang w:val="sl-SI"/>
        </w:rPr>
        <w:t>referenčna številka</w:t>
      </w:r>
      <w:r w:rsidR="001D7FB9" w:rsidRPr="00D40FC0">
        <w:rPr>
          <w:snapToGrid w:val="0"/>
          <w:lang w:val="sl-SI"/>
        </w:rPr>
        <w:t xml:space="preserve"> </w:t>
      </w:r>
      <w:r w:rsidR="00093F2B" w:rsidRPr="00D40FC0">
        <w:rPr>
          <w:snapToGrid w:val="0"/>
          <w:lang w:val="sl-SI"/>
        </w:rPr>
        <w:t>znak</w:t>
      </w:r>
      <w:r w:rsidR="001D7FB9" w:rsidRPr="00D40FC0">
        <w:rPr>
          <w:snapToGrid w:val="0"/>
          <w:lang w:val="sl-SI"/>
        </w:rPr>
        <w:t>a</w:t>
      </w:r>
      <w:r w:rsidR="00093F2B" w:rsidRPr="00D40FC0">
        <w:rPr>
          <w:snapToGrid w:val="0"/>
          <w:lang w:val="sl-SI"/>
        </w:rPr>
        <w:t xml:space="preserve"> kakovosti]: </w:t>
      </w:r>
      <w:r w:rsidR="00093F2B" w:rsidRPr="00D40FC0">
        <w:rPr>
          <w:snapToGrid w:val="0"/>
          <w:highlight w:val="lightGray"/>
          <w:lang w:val="sl-SI"/>
        </w:rPr>
        <w:t>……</w:t>
      </w:r>
    </w:p>
    <w:p w14:paraId="7DCE080B" w14:textId="77777777" w:rsidR="006A7B77" w:rsidRPr="00D40FC0" w:rsidRDefault="006A7B77">
      <w:pPr>
        <w:rPr>
          <w:lang w:val="sl-SI"/>
        </w:rPr>
      </w:pPr>
    </w:p>
    <w:p w14:paraId="7826FBB8" w14:textId="77777777" w:rsidR="004621E3" w:rsidRPr="00D40FC0" w:rsidRDefault="004621E3" w:rsidP="004621E3">
      <w:pPr>
        <w:rPr>
          <w:snapToGrid w:val="0"/>
          <w:lang w:val="sl-SI"/>
        </w:rPr>
      </w:pPr>
      <w:r w:rsidRPr="00D40FC0">
        <w:rPr>
          <w:snapToGrid w:val="0"/>
          <w:lang w:val="sl-SI"/>
        </w:rPr>
        <w:t>Akreditacija</w:t>
      </w:r>
      <w:r w:rsidR="00654D71">
        <w:rPr>
          <w:snapToGrid w:val="0"/>
          <w:lang w:val="sl-SI"/>
        </w:rPr>
        <w:t xml:space="preserve"> za prostovoljstvo iz programa Erasmus </w:t>
      </w:r>
      <w:r w:rsidRPr="00D40FC0">
        <w:rPr>
          <w:snapToGrid w:val="0"/>
          <w:lang w:val="sl-SI"/>
        </w:rPr>
        <w:t>: [</w:t>
      </w:r>
      <w:r w:rsidRPr="00D40FC0">
        <w:rPr>
          <w:shd w:val="clear" w:color="auto" w:fill="C0C0C0"/>
          <w:lang w:val="sl-SI"/>
        </w:rPr>
        <w:t>Referenčna številka akreditacije</w:t>
      </w:r>
      <w:r w:rsidRPr="00D40FC0">
        <w:rPr>
          <w:snapToGrid w:val="0"/>
          <w:lang w:val="sl-SI"/>
        </w:rPr>
        <w:t>],</w:t>
      </w:r>
    </w:p>
    <w:p w14:paraId="0A93ABCC" w14:textId="77777777" w:rsidR="006A7B77" w:rsidRPr="00D40FC0" w:rsidRDefault="006A7B77">
      <w:pPr>
        <w:rPr>
          <w:snapToGrid w:val="0"/>
          <w:lang w:val="sl-SI"/>
        </w:rPr>
      </w:pPr>
    </w:p>
    <w:p w14:paraId="5E325E97" w14:textId="77777777" w:rsidR="006A7B77" w:rsidRPr="00D40FC0" w:rsidRDefault="00654D71">
      <w:pPr>
        <w:jc w:val="both"/>
        <w:rPr>
          <w:lang w:val="sl-SI"/>
        </w:rPr>
      </w:pPr>
      <w:r>
        <w:rPr>
          <w:lang w:val="sl-SI"/>
        </w:rPr>
        <w:t>ki jo za namene podpisa tega</w:t>
      </w:r>
      <w:r w:rsidR="00093F2B" w:rsidRPr="00D40FC0">
        <w:rPr>
          <w:lang w:val="sl-SI"/>
        </w:rPr>
        <w:t xml:space="preserve"> sporazuma zastopa [</w:t>
      </w:r>
      <w:r w:rsidR="00093F2B" w:rsidRPr="00D40FC0">
        <w:rPr>
          <w:shd w:val="clear" w:color="auto" w:fill="C0C0C0"/>
          <w:lang w:val="sl-SI"/>
        </w:rPr>
        <w:t>položaj, ime in priimek</w:t>
      </w:r>
      <w:r w:rsidR="00093F2B" w:rsidRPr="00D40FC0">
        <w:rPr>
          <w:lang w:val="sl-SI"/>
        </w:rPr>
        <w:t>]</w:t>
      </w:r>
    </w:p>
    <w:p w14:paraId="4D63AA82" w14:textId="77777777" w:rsidR="006A7B77" w:rsidRPr="00D40FC0" w:rsidRDefault="006A7B77">
      <w:pPr>
        <w:rPr>
          <w:lang w:val="sl-SI"/>
        </w:rPr>
      </w:pPr>
    </w:p>
    <w:p w14:paraId="176B8ECF" w14:textId="77777777" w:rsidR="00A92FCA" w:rsidRDefault="00A92FCA">
      <w:pPr>
        <w:rPr>
          <w:lang w:val="sl-SI"/>
        </w:rPr>
      </w:pPr>
      <w:r>
        <w:rPr>
          <w:lang w:val="sl-SI"/>
        </w:rPr>
        <w:br w:type="page"/>
      </w:r>
    </w:p>
    <w:p w14:paraId="03912D66" w14:textId="5FA6A743" w:rsidR="006A7B77" w:rsidRPr="00D40FC0" w:rsidRDefault="00093F2B">
      <w:pPr>
        <w:jc w:val="both"/>
        <w:rPr>
          <w:lang w:val="sl-SI"/>
        </w:rPr>
      </w:pPr>
      <w:r w:rsidRPr="00D40FC0">
        <w:rPr>
          <w:lang w:val="sl-SI"/>
        </w:rPr>
        <w:lastRenderedPageBreak/>
        <w:t>Zgoraj navedeni stranki</w:t>
      </w:r>
    </w:p>
    <w:p w14:paraId="7387524E" w14:textId="77777777" w:rsidR="006A7B77" w:rsidRPr="00D40FC0" w:rsidRDefault="006A7B77">
      <w:pPr>
        <w:rPr>
          <w:lang w:val="sl-SI"/>
        </w:rPr>
      </w:pPr>
    </w:p>
    <w:p w14:paraId="67E0536E" w14:textId="77777777" w:rsidR="006A7B77" w:rsidRPr="00D40FC0" w:rsidRDefault="00F052A1">
      <w:pPr>
        <w:spacing w:after="200" w:line="276" w:lineRule="auto"/>
        <w:jc w:val="center"/>
        <w:rPr>
          <w:rFonts w:eastAsia="Calibri"/>
          <w:b/>
          <w:lang w:val="sl-SI"/>
        </w:rPr>
      </w:pPr>
      <w:r w:rsidRPr="00D40FC0">
        <w:rPr>
          <w:rFonts w:eastAsia="Calibri"/>
          <w:b/>
          <w:lang w:val="sl-SI"/>
        </w:rPr>
        <w:t>SE STRINJATA</w:t>
      </w:r>
    </w:p>
    <w:p w14:paraId="23ED8E69" w14:textId="77777777" w:rsidR="006A7B77" w:rsidRPr="00D40FC0" w:rsidRDefault="00F052A1">
      <w:pPr>
        <w:spacing w:after="200" w:line="276" w:lineRule="auto"/>
        <w:jc w:val="both"/>
        <w:rPr>
          <w:rFonts w:eastAsia="Calibri"/>
          <w:lang w:val="sl-SI"/>
        </w:rPr>
      </w:pPr>
      <w:r w:rsidRPr="00D40FC0">
        <w:rPr>
          <w:rFonts w:eastAsia="Calibri"/>
          <w:lang w:val="sl-SI"/>
        </w:rPr>
        <w:t>s posebnimi</w:t>
      </w:r>
      <w:r w:rsidR="00093F2B" w:rsidRPr="00D40FC0">
        <w:rPr>
          <w:rFonts w:eastAsia="Calibri"/>
          <w:lang w:val="sl-SI"/>
        </w:rPr>
        <w:t xml:space="preserve"> </w:t>
      </w:r>
      <w:r w:rsidRPr="00D40FC0">
        <w:rPr>
          <w:rFonts w:eastAsia="Calibri"/>
          <w:lang w:val="sl-SI"/>
        </w:rPr>
        <w:t>pogoji</w:t>
      </w:r>
      <w:r w:rsidR="001D7FB9" w:rsidRPr="00D40FC0">
        <w:rPr>
          <w:rFonts w:eastAsia="Calibri"/>
          <w:lang w:val="sl-SI"/>
        </w:rPr>
        <w:t xml:space="preserve"> (v nadaljnjem besedilu "</w:t>
      </w:r>
      <w:r w:rsidRPr="00D40FC0">
        <w:rPr>
          <w:rFonts w:eastAsia="Calibri"/>
          <w:lang w:val="sl-SI"/>
        </w:rPr>
        <w:t>posebni pogoji") in naslednjimi</w:t>
      </w:r>
      <w:r w:rsidR="00093F2B" w:rsidRPr="00D40FC0">
        <w:rPr>
          <w:rFonts w:eastAsia="Calibri"/>
          <w:lang w:val="sl-SI"/>
        </w:rPr>
        <w:t xml:space="preserve"> prilog</w:t>
      </w:r>
      <w:r w:rsidRPr="00D40FC0">
        <w:rPr>
          <w:rFonts w:eastAsia="Calibri"/>
          <w:lang w:val="sl-SI"/>
        </w:rPr>
        <w:t>ami</w:t>
      </w:r>
      <w:r w:rsidR="00093F2B" w:rsidRPr="00D40FC0">
        <w:rPr>
          <w:rFonts w:eastAsia="Calibri"/>
          <w:lang w:val="sl-SI"/>
        </w:rPr>
        <w:t>:</w:t>
      </w:r>
    </w:p>
    <w:p w14:paraId="6B7D17C0" w14:textId="77777777" w:rsidR="006A7B77" w:rsidRPr="00D40FC0" w:rsidRDefault="00093F2B">
      <w:pPr>
        <w:tabs>
          <w:tab w:val="left" w:pos="1276"/>
        </w:tabs>
        <w:spacing w:after="200" w:line="276" w:lineRule="auto"/>
        <w:rPr>
          <w:rFonts w:eastAsia="Calibri"/>
          <w:lang w:val="sl-SI"/>
        </w:rPr>
      </w:pPr>
      <w:r w:rsidRPr="00D40FC0">
        <w:rPr>
          <w:rFonts w:eastAsia="Calibri"/>
          <w:lang w:val="sl-SI"/>
        </w:rPr>
        <w:t>Priloga I Splošni pogoji Priloge I (v nadaljnjem besedilu "Splošni pogoji")</w:t>
      </w:r>
    </w:p>
    <w:p w14:paraId="39051723" w14:textId="77777777" w:rsidR="006A7B77" w:rsidRPr="00D40FC0" w:rsidRDefault="00093F2B">
      <w:pPr>
        <w:tabs>
          <w:tab w:val="left" w:pos="1276"/>
        </w:tabs>
        <w:spacing w:after="200" w:line="276" w:lineRule="auto"/>
        <w:rPr>
          <w:rFonts w:eastAsia="Calibri"/>
          <w:lang w:val="sl-SI"/>
        </w:rPr>
      </w:pPr>
      <w:r w:rsidRPr="00D40FC0">
        <w:rPr>
          <w:rFonts w:eastAsia="Calibri"/>
          <w:lang w:val="sl-SI"/>
        </w:rPr>
        <w:t>Priloga II Akcijski načrt</w:t>
      </w:r>
      <w:r w:rsidRPr="00D40FC0">
        <w:rPr>
          <w:rStyle w:val="FootnoteReference"/>
          <w:rFonts w:eastAsia="Calibri"/>
          <w:lang w:val="sl-SI"/>
        </w:rPr>
        <w:footnoteReference w:id="2"/>
      </w:r>
    </w:p>
    <w:p w14:paraId="13557342" w14:textId="77777777" w:rsidR="006A7B77" w:rsidRPr="00D40FC0" w:rsidRDefault="00093F2B">
      <w:pPr>
        <w:tabs>
          <w:tab w:val="left" w:pos="1276"/>
        </w:tabs>
        <w:spacing w:after="200" w:line="276" w:lineRule="auto"/>
        <w:rPr>
          <w:rFonts w:eastAsia="Calibri"/>
          <w:lang w:val="sl-SI"/>
        </w:rPr>
      </w:pPr>
      <w:r w:rsidRPr="00D40FC0">
        <w:rPr>
          <w:rFonts w:eastAsia="Calibri"/>
          <w:lang w:val="sl-SI"/>
        </w:rPr>
        <w:t>Priloga III se ne uporablja</w:t>
      </w:r>
    </w:p>
    <w:p w14:paraId="503360C6" w14:textId="77777777" w:rsidR="006A7B77" w:rsidRPr="00D40FC0" w:rsidRDefault="00093F2B">
      <w:pPr>
        <w:tabs>
          <w:tab w:val="left" w:pos="1276"/>
        </w:tabs>
        <w:spacing w:after="200" w:line="276" w:lineRule="auto"/>
        <w:rPr>
          <w:rFonts w:eastAsia="Calibri"/>
          <w:lang w:val="sl-SI"/>
        </w:rPr>
      </w:pPr>
      <w:r w:rsidRPr="00D40FC0">
        <w:rPr>
          <w:rFonts w:eastAsia="Calibri"/>
          <w:lang w:val="sl-SI"/>
        </w:rPr>
        <w:t>Priloga IV se ne uporablja</w:t>
      </w:r>
    </w:p>
    <w:p w14:paraId="5E1475CD" w14:textId="77777777" w:rsidR="006A7B77" w:rsidRPr="00D40FC0" w:rsidRDefault="00093F2B">
      <w:pPr>
        <w:tabs>
          <w:tab w:val="left" w:pos="1276"/>
        </w:tabs>
        <w:spacing w:after="200" w:line="276" w:lineRule="auto"/>
        <w:rPr>
          <w:rFonts w:eastAsia="Calibri"/>
          <w:lang w:val="sl-SI"/>
        </w:rPr>
      </w:pPr>
      <w:r w:rsidRPr="00D40FC0">
        <w:rPr>
          <w:rFonts w:eastAsia="Calibri"/>
          <w:lang w:val="sl-SI"/>
        </w:rPr>
        <w:t xml:space="preserve">Priloga V se ne uporablja </w:t>
      </w:r>
    </w:p>
    <w:p w14:paraId="51F82C90" w14:textId="77777777" w:rsidR="006A7B77" w:rsidRPr="00D40FC0" w:rsidRDefault="00093F2B">
      <w:pPr>
        <w:tabs>
          <w:tab w:val="left" w:pos="1276"/>
        </w:tabs>
        <w:spacing w:after="200" w:line="276" w:lineRule="auto"/>
        <w:rPr>
          <w:rFonts w:eastAsia="Calibri"/>
          <w:lang w:val="sl-SI"/>
        </w:rPr>
      </w:pPr>
      <w:r w:rsidRPr="00D40FC0">
        <w:rPr>
          <w:rFonts w:eastAsia="Calibri"/>
          <w:lang w:val="sl-SI"/>
        </w:rPr>
        <w:t>Priloga VI Vzorec posebnega sporazuma o nepovratnih sredstvih,</w:t>
      </w:r>
    </w:p>
    <w:p w14:paraId="38D26A27" w14:textId="32287B5E" w:rsidR="006A7B77" w:rsidRDefault="00093F2B">
      <w:pPr>
        <w:spacing w:after="200" w:line="276" w:lineRule="auto"/>
        <w:jc w:val="both"/>
        <w:rPr>
          <w:rFonts w:eastAsia="Calibri"/>
          <w:lang w:val="sl-SI"/>
        </w:rPr>
      </w:pPr>
      <w:r w:rsidRPr="00D40FC0">
        <w:rPr>
          <w:rFonts w:eastAsia="Calibri"/>
          <w:lang w:val="sl-SI"/>
        </w:rPr>
        <w:t>ki so sestavni del tega okvirnega sporazuma o partnerstvu, v nadaljnjem besedilu "okvirni sporazum".</w:t>
      </w:r>
    </w:p>
    <w:p w14:paraId="561197A5" w14:textId="77777777" w:rsidR="00C079CC" w:rsidRPr="00D40FC0" w:rsidRDefault="00C079CC">
      <w:pPr>
        <w:spacing w:after="200" w:line="276" w:lineRule="auto"/>
        <w:jc w:val="both"/>
        <w:rPr>
          <w:rFonts w:eastAsia="Calibri"/>
          <w:lang w:val="sl-SI"/>
        </w:rPr>
      </w:pPr>
    </w:p>
    <w:p w14:paraId="7B3F2BD6" w14:textId="77777777" w:rsidR="006A7B77" w:rsidRPr="00D40FC0" w:rsidRDefault="00093F2B">
      <w:pPr>
        <w:spacing w:after="200" w:line="276" w:lineRule="auto"/>
        <w:jc w:val="both"/>
        <w:rPr>
          <w:rFonts w:eastAsia="Calibri"/>
          <w:lang w:val="sl-SI"/>
        </w:rPr>
      </w:pPr>
      <w:r w:rsidRPr="00D40FC0">
        <w:rPr>
          <w:rFonts w:eastAsia="Calibri"/>
          <w:lang w:val="sl-SI"/>
        </w:rPr>
        <w:t>Izrazi, določeni v posebnih pogoj</w:t>
      </w:r>
      <w:r w:rsidR="00F052A1" w:rsidRPr="00D40FC0">
        <w:rPr>
          <w:rFonts w:eastAsia="Calibri"/>
          <w:lang w:val="sl-SI"/>
        </w:rPr>
        <w:t>ih, katerih sestavni del je preambula,</w:t>
      </w:r>
      <w:r w:rsidRPr="00D40FC0">
        <w:rPr>
          <w:rFonts w:eastAsia="Calibri"/>
          <w:lang w:val="sl-SI"/>
        </w:rPr>
        <w:t xml:space="preserve"> imajo prednost pred določbami iz prilog.</w:t>
      </w:r>
    </w:p>
    <w:p w14:paraId="4181B07F" w14:textId="77777777" w:rsidR="006A7B77" w:rsidRPr="00D40FC0" w:rsidRDefault="00093F2B">
      <w:pPr>
        <w:spacing w:after="200" w:line="276" w:lineRule="auto"/>
        <w:jc w:val="both"/>
        <w:rPr>
          <w:rFonts w:eastAsia="Calibri"/>
          <w:lang w:val="sl-SI"/>
        </w:rPr>
      </w:pPr>
      <w:r w:rsidRPr="00D40FC0">
        <w:rPr>
          <w:rFonts w:eastAsia="Calibri"/>
          <w:lang w:val="sl-SI"/>
        </w:rPr>
        <w:t>Izrazi iz "splošnih pogojev" Priloge I imajo prednost pred drugimi prilogami.</w:t>
      </w:r>
    </w:p>
    <w:p w14:paraId="275CC670" w14:textId="77777777" w:rsidR="006A7B77" w:rsidRPr="00D40FC0" w:rsidRDefault="006A7B77">
      <w:pPr>
        <w:rPr>
          <w:rFonts w:eastAsia="Calibri"/>
          <w:lang w:val="sl-SI"/>
        </w:rPr>
      </w:pPr>
    </w:p>
    <w:p w14:paraId="2D358969" w14:textId="77777777" w:rsidR="006A7B77" w:rsidRPr="00D40FC0" w:rsidRDefault="006A7B77">
      <w:pPr>
        <w:jc w:val="center"/>
        <w:rPr>
          <w:b/>
          <w:snapToGrid w:val="0"/>
          <w:lang w:val="sl-SI"/>
        </w:rPr>
        <w:sectPr w:rsidR="006A7B77" w:rsidRPr="00D40FC0" w:rsidSect="004F1901">
          <w:headerReference w:type="default" r:id="rId8"/>
          <w:footerReference w:type="default" r:id="rId9"/>
          <w:headerReference w:type="first" r:id="rId10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9E548FF" w14:textId="77777777" w:rsidR="006A7B77" w:rsidRPr="00D40FC0" w:rsidRDefault="00093F2B">
      <w:pPr>
        <w:spacing w:before="240"/>
        <w:jc w:val="center"/>
        <w:rPr>
          <w:snapToGrid w:val="0"/>
          <w:lang w:val="sl-SI"/>
        </w:rPr>
      </w:pPr>
      <w:r w:rsidRPr="00D40FC0">
        <w:rPr>
          <w:b/>
          <w:snapToGrid w:val="0"/>
          <w:lang w:val="sl-SI"/>
        </w:rPr>
        <w:lastRenderedPageBreak/>
        <w:t>PRE</w:t>
      </w:r>
      <w:r w:rsidR="00D40FC0">
        <w:rPr>
          <w:b/>
          <w:snapToGrid w:val="0"/>
          <w:lang w:val="sl-SI"/>
        </w:rPr>
        <w:t>AMBULA</w:t>
      </w:r>
    </w:p>
    <w:p w14:paraId="6C2E6641" w14:textId="77777777" w:rsidR="006A7B77" w:rsidRPr="00D40FC0" w:rsidRDefault="00093F2B">
      <w:pPr>
        <w:spacing w:before="240" w:after="240"/>
        <w:jc w:val="both"/>
        <w:rPr>
          <w:snapToGrid w:val="0"/>
          <w:lang w:val="sl-SI"/>
        </w:rPr>
      </w:pPr>
      <w:r w:rsidRPr="00D40FC0">
        <w:rPr>
          <w:snapToGrid w:val="0"/>
          <w:lang w:val="sl-SI"/>
        </w:rPr>
        <w:t>NA je odgovorna za izvajanje Evropske solidarnostne enote</w:t>
      </w:r>
      <w:r w:rsidRPr="00D40FC0">
        <w:rPr>
          <w:rStyle w:val="FootnoteReference"/>
          <w:snapToGrid w:val="0"/>
          <w:lang w:val="sl-SI"/>
        </w:rPr>
        <w:footnoteReference w:id="3"/>
      </w:r>
      <w:r w:rsidRPr="00D40FC0">
        <w:rPr>
          <w:snapToGrid w:val="0"/>
          <w:lang w:val="sl-SI"/>
        </w:rPr>
        <w:t xml:space="preserve">. Za izvajanje tega programa Unije je NA izbrala enega ali več partnerjev, vključenih v zadevno področje </w:t>
      </w:r>
      <w:r w:rsidR="00261CE5" w:rsidRPr="00D40FC0">
        <w:rPr>
          <w:snapToGrid w:val="0"/>
          <w:lang w:val="sl-SI"/>
        </w:rPr>
        <w:t>akti</w:t>
      </w:r>
      <w:r w:rsidRPr="00D40FC0">
        <w:rPr>
          <w:snapToGrid w:val="0"/>
          <w:lang w:val="sl-SI"/>
        </w:rPr>
        <w:t>vnosti, s katerimi ima skupne splošne cilje in želi vzpostaviti trajno sodelovanje.</w:t>
      </w:r>
    </w:p>
    <w:p w14:paraId="4B15C320" w14:textId="67B7D667" w:rsidR="006A7B77" w:rsidRPr="00D40FC0" w:rsidRDefault="00093F2B">
      <w:pPr>
        <w:jc w:val="both"/>
        <w:rPr>
          <w:snapToGrid w:val="0"/>
          <w:lang w:val="sl-SI"/>
        </w:rPr>
      </w:pPr>
      <w:r w:rsidRPr="00D40FC0">
        <w:rPr>
          <w:snapToGrid w:val="0"/>
          <w:lang w:val="sl-SI"/>
        </w:rPr>
        <w:t xml:space="preserve">Splošni cilji, s katerimi se strinja </w:t>
      </w:r>
      <w:r w:rsidRPr="00D40FC0">
        <w:rPr>
          <w:snapToGrid w:val="0"/>
          <w:highlight w:val="lightGray"/>
          <w:lang w:val="sl-SI"/>
        </w:rPr>
        <w:t>[</w:t>
      </w:r>
      <w:r w:rsidRPr="00D40FC0">
        <w:rPr>
          <w:shd w:val="clear" w:color="auto" w:fill="C0C0C0"/>
          <w:lang w:val="sl-SI"/>
        </w:rPr>
        <w:t>polno uradno ime partnerja]</w:t>
      </w:r>
      <w:r w:rsidRPr="00D40FC0">
        <w:rPr>
          <w:snapToGrid w:val="0"/>
          <w:lang w:val="sl-SI"/>
        </w:rPr>
        <w:t xml:space="preserve"> na omenjenem področju </w:t>
      </w:r>
      <w:r w:rsidR="00261CE5" w:rsidRPr="00D40FC0">
        <w:rPr>
          <w:snapToGrid w:val="0"/>
          <w:lang w:val="sl-SI"/>
        </w:rPr>
        <w:t>akti</w:t>
      </w:r>
      <w:r w:rsidRPr="00D40FC0">
        <w:rPr>
          <w:snapToGrid w:val="0"/>
          <w:lang w:val="sl-SI"/>
        </w:rPr>
        <w:t>vnosti, ki upravičujejo ustanovitev partnerstva, so:</w:t>
      </w:r>
    </w:p>
    <w:p w14:paraId="1CEB71AD" w14:textId="21454112" w:rsidR="006A7B77" w:rsidRPr="00D40FC0" w:rsidRDefault="00093F2B">
      <w:pPr>
        <w:numPr>
          <w:ilvl w:val="0"/>
          <w:numId w:val="70"/>
        </w:numPr>
        <w:spacing w:before="240"/>
        <w:rPr>
          <w:lang w:val="sl-SI"/>
        </w:rPr>
      </w:pPr>
      <w:r w:rsidRPr="00D40FC0">
        <w:rPr>
          <w:lang w:val="sl-SI"/>
        </w:rPr>
        <w:t>prispev</w:t>
      </w:r>
      <w:r w:rsidR="00F052A1" w:rsidRPr="00D40FC0">
        <w:rPr>
          <w:lang w:val="sl-SI"/>
        </w:rPr>
        <w:t>ati</w:t>
      </w:r>
      <w:r w:rsidRPr="00D40FC0">
        <w:rPr>
          <w:lang w:val="sl-SI"/>
        </w:rPr>
        <w:t xml:space="preserve"> k izboljšanju kakovosti in količine prostovol</w:t>
      </w:r>
      <w:r w:rsidR="00654D71">
        <w:rPr>
          <w:lang w:val="sl-SI"/>
        </w:rPr>
        <w:t>jskih</w:t>
      </w:r>
      <w:r w:rsidRPr="00D40FC0">
        <w:rPr>
          <w:lang w:val="sl-SI"/>
        </w:rPr>
        <w:t xml:space="preserve"> priložnosti Evropske solidarnostne enote;</w:t>
      </w:r>
    </w:p>
    <w:p w14:paraId="0F74C587" w14:textId="77777777" w:rsidR="006A7B77" w:rsidRPr="00D40FC0" w:rsidRDefault="00093F2B">
      <w:pPr>
        <w:numPr>
          <w:ilvl w:val="0"/>
          <w:numId w:val="70"/>
        </w:numPr>
        <w:spacing w:before="240"/>
        <w:rPr>
          <w:lang w:val="sl-SI"/>
        </w:rPr>
      </w:pPr>
      <w:r w:rsidRPr="00D40FC0">
        <w:rPr>
          <w:lang w:val="sl-SI"/>
        </w:rPr>
        <w:t xml:space="preserve">strateško odzivanje na pomembne družbene potrebe; </w:t>
      </w:r>
    </w:p>
    <w:p w14:paraId="0DCA910E" w14:textId="77777777" w:rsidR="006A7B77" w:rsidRPr="00D40FC0" w:rsidRDefault="00093F2B">
      <w:pPr>
        <w:numPr>
          <w:ilvl w:val="0"/>
          <w:numId w:val="70"/>
        </w:numPr>
        <w:spacing w:before="240"/>
        <w:jc w:val="both"/>
        <w:rPr>
          <w:lang w:val="sl-SI"/>
        </w:rPr>
      </w:pPr>
      <w:r w:rsidRPr="00D40FC0">
        <w:rPr>
          <w:lang w:val="sl-SI"/>
        </w:rPr>
        <w:t>prispevati h krepitvi skupnosti, hkrati pa mladim omogočiti, da pridobijo uporabne izkušnje, spretnosti in kompetence za osebni, izobraževalni, socialni, državljanski in poklicni razvoj, s čimer se izboljša njihova zaposljivost.</w:t>
      </w:r>
    </w:p>
    <w:p w14:paraId="2F2B84BA" w14:textId="77777777" w:rsidR="006A7B77" w:rsidRPr="00D40FC0" w:rsidRDefault="006A7B77">
      <w:pPr>
        <w:spacing w:after="200"/>
        <w:jc w:val="center"/>
        <w:rPr>
          <w:rFonts w:eastAsia="Calibri"/>
          <w:b/>
          <w:lang w:val="sl-SI"/>
        </w:rPr>
        <w:sectPr w:rsidR="006A7B77" w:rsidRPr="00D40FC0" w:rsidSect="004F1901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38FA7B7" w14:textId="77777777" w:rsidR="006A7B77" w:rsidRPr="00D40FC0" w:rsidRDefault="00093F2B">
      <w:pPr>
        <w:spacing w:after="200"/>
        <w:jc w:val="center"/>
        <w:rPr>
          <w:rFonts w:eastAsia="Calibri"/>
          <w:b/>
          <w:lang w:val="sl-SI"/>
        </w:rPr>
      </w:pPr>
      <w:r w:rsidRPr="00D40FC0">
        <w:rPr>
          <w:rFonts w:eastAsia="Calibri"/>
          <w:b/>
          <w:lang w:val="sl-SI"/>
        </w:rPr>
        <w:lastRenderedPageBreak/>
        <w:t>POSEBNI POGOJI</w:t>
      </w:r>
    </w:p>
    <w:p w14:paraId="2921F0A6" w14:textId="77777777" w:rsidR="006A7B77" w:rsidRPr="00D40FC0" w:rsidRDefault="006A7B77">
      <w:pPr>
        <w:spacing w:after="60"/>
        <w:jc w:val="center"/>
        <w:rPr>
          <w:rFonts w:eastAsia="Calibri"/>
          <w:b/>
          <w:lang w:val="sl-SI"/>
        </w:rPr>
      </w:pPr>
    </w:p>
    <w:p w14:paraId="1619C9A1" w14:textId="77777777" w:rsidR="006A7B77" w:rsidRPr="00D40FC0" w:rsidRDefault="00093F2B">
      <w:pPr>
        <w:pStyle w:val="Heading1"/>
        <w:jc w:val="both"/>
        <w:rPr>
          <w:rFonts w:eastAsia="Calibri"/>
        </w:rPr>
      </w:pPr>
      <w:r w:rsidRPr="00D40FC0">
        <w:rPr>
          <w:rFonts w:eastAsia="Calibri"/>
        </w:rPr>
        <w:t xml:space="preserve">ČLEN I.1 - PREDMET OKVIRNEGA SPORAZUMA ZA POSEBNE DODELITVE NEPOVRATNIH SREDSTEV </w:t>
      </w:r>
    </w:p>
    <w:p w14:paraId="7658D73D" w14:textId="77777777" w:rsidR="006A7B77" w:rsidRPr="00D40FC0" w:rsidRDefault="00093F2B">
      <w:pPr>
        <w:pStyle w:val="Heading3contract"/>
        <w:rPr>
          <w:rFonts w:eastAsia="Calibri"/>
        </w:rPr>
      </w:pPr>
      <w:r w:rsidRPr="00D40FC0">
        <w:rPr>
          <w:rFonts w:eastAsia="Calibri"/>
        </w:rPr>
        <w:t>I.1.1 Vsebina okvirnega sporazuma</w:t>
      </w:r>
    </w:p>
    <w:p w14:paraId="49463060" w14:textId="77777777" w:rsidR="006A7B77" w:rsidRPr="00D40FC0" w:rsidRDefault="006A7B77">
      <w:pPr>
        <w:rPr>
          <w:rFonts w:eastAsia="Calibri"/>
          <w:lang w:val="sl-SI"/>
        </w:rPr>
      </w:pPr>
    </w:p>
    <w:p w14:paraId="24BABE66" w14:textId="1DB72D80" w:rsidR="006A7B77" w:rsidRPr="00D40FC0" w:rsidRDefault="00093F2B">
      <w:pPr>
        <w:ind w:left="709" w:hanging="709"/>
        <w:jc w:val="both"/>
        <w:rPr>
          <w:snapToGrid w:val="0"/>
          <w:lang w:val="sl-SI"/>
        </w:rPr>
      </w:pPr>
      <w:r w:rsidRPr="00D40FC0">
        <w:rPr>
          <w:rFonts w:eastAsia="Calibri"/>
          <w:b/>
          <w:lang w:val="sl-SI"/>
        </w:rPr>
        <w:t>I.1.1.1</w:t>
      </w:r>
      <w:r w:rsidR="00D40FC0">
        <w:rPr>
          <w:rFonts w:eastAsia="Calibri"/>
          <w:b/>
          <w:lang w:val="sl-SI"/>
        </w:rPr>
        <w:t xml:space="preserve"> </w:t>
      </w:r>
      <w:r w:rsidRPr="00D40FC0">
        <w:rPr>
          <w:snapToGrid w:val="0"/>
          <w:lang w:val="sl-SI"/>
        </w:rPr>
        <w:t xml:space="preserve">Okvirni sporazum je sklenjen kot del dolgoročnega sodelovanja med NA in partnerjem (v nadaljnjem besedilu "partnerstvo") </w:t>
      </w:r>
      <w:r w:rsidR="00BA0558" w:rsidRPr="00D40FC0">
        <w:rPr>
          <w:snapToGrid w:val="0"/>
          <w:lang w:val="sl-SI"/>
        </w:rPr>
        <w:t>z namenom</w:t>
      </w:r>
      <w:r w:rsidRPr="00D40FC0">
        <w:rPr>
          <w:snapToGrid w:val="0"/>
          <w:lang w:val="sl-SI"/>
        </w:rPr>
        <w:t xml:space="preserve"> prispevati k ciljem Evropske solidarnostne enote, kot je navedeno v preambuli.</w:t>
      </w:r>
    </w:p>
    <w:p w14:paraId="2B271BA2" w14:textId="77777777" w:rsidR="006A7B77" w:rsidRPr="00D40FC0" w:rsidRDefault="006A7B77">
      <w:pPr>
        <w:ind w:left="709" w:hanging="709"/>
        <w:jc w:val="both"/>
        <w:rPr>
          <w:snapToGrid w:val="0"/>
          <w:lang w:val="sl-SI"/>
        </w:rPr>
      </w:pPr>
    </w:p>
    <w:p w14:paraId="165BE1C2" w14:textId="77777777" w:rsidR="006A7B77" w:rsidRPr="00D40FC0" w:rsidRDefault="00093F2B">
      <w:pPr>
        <w:spacing w:after="200" w:line="276" w:lineRule="auto"/>
        <w:ind w:left="720" w:hanging="11"/>
        <w:jc w:val="both"/>
        <w:rPr>
          <w:rFonts w:eastAsia="Calibri"/>
          <w:lang w:val="sl-SI"/>
        </w:rPr>
      </w:pPr>
      <w:r w:rsidRPr="00D40FC0">
        <w:rPr>
          <w:snapToGrid w:val="0"/>
          <w:lang w:val="sl-SI"/>
        </w:rPr>
        <w:t>Okvirni sporazum določa splošne pravice in obveznosti strank pri izvajanju nj</w:t>
      </w:r>
      <w:r w:rsidR="00BA0558" w:rsidRPr="00D40FC0">
        <w:rPr>
          <w:snapToGrid w:val="0"/>
          <w:lang w:val="sl-SI"/>
        </w:rPr>
        <w:t>uneg</w:t>
      </w:r>
      <w:r w:rsidRPr="00D40FC0">
        <w:rPr>
          <w:snapToGrid w:val="0"/>
          <w:lang w:val="sl-SI"/>
        </w:rPr>
        <w:t>a partnerstva.</w:t>
      </w:r>
      <w:bookmarkStart w:id="0" w:name="_GoBack"/>
      <w:bookmarkEnd w:id="0"/>
    </w:p>
    <w:p w14:paraId="5DF08307" w14:textId="77777777" w:rsidR="006A7B77" w:rsidRPr="00D40FC0" w:rsidRDefault="00093F2B">
      <w:pPr>
        <w:ind w:left="709" w:hanging="709"/>
        <w:jc w:val="both"/>
        <w:rPr>
          <w:snapToGrid w:val="0"/>
          <w:lang w:val="sl-SI"/>
        </w:rPr>
      </w:pPr>
      <w:r w:rsidRPr="00AE0AEA">
        <w:rPr>
          <w:rFonts w:eastAsia="Calibri"/>
          <w:b/>
          <w:lang w:val="sl-SI"/>
        </w:rPr>
        <w:t>I.</w:t>
      </w:r>
      <w:r w:rsidRPr="00D40FC0">
        <w:rPr>
          <w:b/>
          <w:snapToGrid w:val="0"/>
          <w:lang w:val="sl-SI"/>
        </w:rPr>
        <w:t>1.1.2</w:t>
      </w:r>
      <w:r w:rsidR="006D170B" w:rsidRPr="00D40FC0">
        <w:rPr>
          <w:b/>
          <w:snapToGrid w:val="0"/>
          <w:lang w:val="sl-SI"/>
        </w:rPr>
        <w:t xml:space="preserve"> </w:t>
      </w:r>
      <w:r w:rsidRPr="00D40FC0">
        <w:rPr>
          <w:snapToGrid w:val="0"/>
          <w:lang w:val="sl-SI"/>
        </w:rPr>
        <w:t xml:space="preserve">Partnerstvo se izvaja v skladu z akcijskim načrtom iz Priloge II. </w:t>
      </w:r>
    </w:p>
    <w:p w14:paraId="6EDF7C2E" w14:textId="77777777" w:rsidR="006A7B77" w:rsidRPr="00D40FC0" w:rsidRDefault="006A7B77">
      <w:pPr>
        <w:ind w:left="709"/>
        <w:jc w:val="both"/>
        <w:rPr>
          <w:snapToGrid w:val="0"/>
          <w:lang w:val="sl-SI"/>
        </w:rPr>
      </w:pPr>
    </w:p>
    <w:p w14:paraId="0EABEC59" w14:textId="07F23B3F" w:rsidR="006A7B77" w:rsidRPr="00D40FC0" w:rsidRDefault="00093F2B">
      <w:pPr>
        <w:ind w:left="709" w:hanging="709"/>
        <w:jc w:val="both"/>
        <w:rPr>
          <w:iCs/>
          <w:snapToGrid w:val="0"/>
          <w:lang w:val="sl-SI"/>
        </w:rPr>
      </w:pPr>
      <w:r w:rsidRPr="00D40FC0">
        <w:rPr>
          <w:b/>
          <w:snapToGrid w:val="0"/>
          <w:lang w:val="sl-SI"/>
        </w:rPr>
        <w:t>I.1.1.3</w:t>
      </w:r>
      <w:r w:rsidR="006D170B" w:rsidRPr="00D40FC0">
        <w:rPr>
          <w:b/>
          <w:snapToGrid w:val="0"/>
          <w:lang w:val="sl-SI"/>
        </w:rPr>
        <w:t xml:space="preserve"> </w:t>
      </w:r>
      <w:r w:rsidRPr="00D40FC0">
        <w:rPr>
          <w:snapToGrid w:val="0"/>
          <w:lang w:val="sl-SI"/>
        </w:rPr>
        <w:t xml:space="preserve">Za izvajanje partnerstva lahko NA dodeli partnerju </w:t>
      </w:r>
      <w:r w:rsidR="00BA0558" w:rsidRPr="00D40FC0">
        <w:rPr>
          <w:iCs/>
          <w:snapToGrid w:val="0"/>
          <w:lang w:val="sl-SI"/>
        </w:rPr>
        <w:t>posebna nepovratna sredstva</w:t>
      </w:r>
      <w:r w:rsidRPr="00D40FC0">
        <w:rPr>
          <w:iCs/>
          <w:snapToGrid w:val="0"/>
          <w:lang w:val="sl-SI"/>
        </w:rPr>
        <w:t xml:space="preserve"> za  projekte</w:t>
      </w:r>
      <w:r w:rsidR="003C526B">
        <w:rPr>
          <w:iCs/>
          <w:snapToGrid w:val="0"/>
          <w:lang w:val="sl-SI"/>
        </w:rPr>
        <w:t xml:space="preserve"> prostovoljstva</w:t>
      </w:r>
      <w:r w:rsidRPr="00D40FC0">
        <w:rPr>
          <w:iCs/>
          <w:snapToGrid w:val="0"/>
          <w:lang w:val="sl-SI"/>
        </w:rPr>
        <w:t>.</w:t>
      </w:r>
    </w:p>
    <w:p w14:paraId="7496BAB7" w14:textId="77777777" w:rsidR="006A7B77" w:rsidRPr="00D40FC0" w:rsidRDefault="006A7B77">
      <w:pPr>
        <w:ind w:left="709" w:hanging="709"/>
        <w:jc w:val="both"/>
        <w:rPr>
          <w:i/>
          <w:iCs/>
          <w:snapToGrid w:val="0"/>
          <w:lang w:val="sl-SI"/>
        </w:rPr>
      </w:pPr>
    </w:p>
    <w:p w14:paraId="5585FB03" w14:textId="77777777" w:rsidR="006A7B77" w:rsidRPr="00D40FC0" w:rsidRDefault="00093F2B">
      <w:pPr>
        <w:ind w:left="709"/>
        <w:jc w:val="both"/>
        <w:rPr>
          <w:snapToGrid w:val="0"/>
          <w:lang w:val="sl-SI"/>
        </w:rPr>
      </w:pPr>
      <w:r w:rsidRPr="00D40FC0">
        <w:rPr>
          <w:snapToGrid w:val="0"/>
          <w:lang w:val="sl-SI"/>
        </w:rPr>
        <w:t xml:space="preserve">Okvirni sporazum se uporablja za </w:t>
      </w:r>
      <w:r w:rsidR="00BA0558" w:rsidRPr="00D40FC0">
        <w:rPr>
          <w:snapToGrid w:val="0"/>
          <w:lang w:val="sl-SI"/>
        </w:rPr>
        <w:t>vsa posamezna nepovratna sredstva, dodeljena</w:t>
      </w:r>
      <w:r w:rsidRPr="00D40FC0">
        <w:rPr>
          <w:snapToGrid w:val="0"/>
          <w:lang w:val="sl-SI"/>
        </w:rPr>
        <w:t xml:space="preserve"> za izvajanje partnerstva, in za posamezne posebne sporazume o dodelitvi sredstev (v nadaljnjem besedilu</w:t>
      </w:r>
      <w:r w:rsidR="00BA0558" w:rsidRPr="00D40FC0">
        <w:rPr>
          <w:snapToGrid w:val="0"/>
          <w:lang w:val="sl-SI"/>
        </w:rPr>
        <w:t xml:space="preserve"> "posebni sporazumi"), sklenjene</w:t>
      </w:r>
      <w:r w:rsidRPr="00D40FC0">
        <w:rPr>
          <w:snapToGrid w:val="0"/>
          <w:lang w:val="sl-SI"/>
        </w:rPr>
        <w:t xml:space="preserve"> med </w:t>
      </w:r>
      <w:r w:rsidR="00AF0BE4" w:rsidRPr="00D40FC0">
        <w:rPr>
          <w:snapToGrid w:val="0"/>
          <w:lang w:val="sl-SI"/>
        </w:rPr>
        <w:t>strankama</w:t>
      </w:r>
      <w:r w:rsidRPr="00D40FC0">
        <w:rPr>
          <w:snapToGrid w:val="0"/>
          <w:lang w:val="sl-SI"/>
        </w:rPr>
        <w:t xml:space="preserve">. </w:t>
      </w:r>
    </w:p>
    <w:p w14:paraId="0FFB77BC" w14:textId="77777777" w:rsidR="006A7B77" w:rsidRPr="00D40FC0" w:rsidRDefault="006A7B77">
      <w:pPr>
        <w:ind w:left="709" w:hanging="709"/>
        <w:jc w:val="both"/>
        <w:rPr>
          <w:snapToGrid w:val="0"/>
          <w:lang w:val="sl-SI"/>
        </w:rPr>
      </w:pPr>
    </w:p>
    <w:p w14:paraId="3D2D3260" w14:textId="2F4D417B" w:rsidR="006A7B77" w:rsidRPr="00D40FC0" w:rsidRDefault="00093F2B">
      <w:pPr>
        <w:ind w:left="709"/>
        <w:jc w:val="both"/>
        <w:rPr>
          <w:snapToGrid w:val="0"/>
          <w:lang w:val="sl-SI"/>
        </w:rPr>
      </w:pPr>
      <w:r w:rsidRPr="00D40FC0">
        <w:rPr>
          <w:snapToGrid w:val="0"/>
          <w:lang w:val="sl-SI"/>
        </w:rPr>
        <w:t xml:space="preserve">Podpis okvirnega sporazuma ne sme povzročiti obveznosti NA za podeljevanje posebnih nepovratnih sredstev. Ne posega v sodelovanje partnerja v drugih razpisih za zbiranje predlogov za namene </w:t>
      </w:r>
      <w:r w:rsidR="00AF0BE4" w:rsidRPr="00D40FC0">
        <w:rPr>
          <w:snapToGrid w:val="0"/>
          <w:lang w:val="sl-SI"/>
        </w:rPr>
        <w:t>dodelitve nepovratnih sredstev</w:t>
      </w:r>
      <w:r w:rsidRPr="00D40FC0">
        <w:rPr>
          <w:snapToGrid w:val="0"/>
          <w:lang w:val="sl-SI"/>
        </w:rPr>
        <w:t xml:space="preserve"> zunaj področja uporabe akcijskega načrta iz Priloge II.</w:t>
      </w:r>
    </w:p>
    <w:p w14:paraId="09F266DE" w14:textId="77777777" w:rsidR="006A7B77" w:rsidRPr="00D40FC0" w:rsidRDefault="006A7B77">
      <w:pPr>
        <w:pStyle w:val="FootnoteText"/>
        <w:jc w:val="both"/>
        <w:rPr>
          <w:b/>
          <w:sz w:val="24"/>
          <w:lang w:val="sl-SI"/>
        </w:rPr>
      </w:pPr>
    </w:p>
    <w:p w14:paraId="33610BE5" w14:textId="77777777" w:rsidR="006A7B77" w:rsidRPr="00D40FC0" w:rsidRDefault="00093F2B">
      <w:pPr>
        <w:pStyle w:val="FootnoteText"/>
        <w:jc w:val="both"/>
        <w:rPr>
          <w:snapToGrid w:val="0"/>
          <w:sz w:val="24"/>
          <w:lang w:val="sl-SI"/>
        </w:rPr>
      </w:pPr>
      <w:r w:rsidRPr="00D40FC0">
        <w:rPr>
          <w:b/>
          <w:sz w:val="24"/>
          <w:lang w:val="sl-SI"/>
        </w:rPr>
        <w:t>I.1.1.4</w:t>
      </w:r>
      <w:r w:rsidRPr="00D40FC0">
        <w:rPr>
          <w:b/>
          <w:i/>
          <w:color w:val="00B0F0"/>
          <w:sz w:val="24"/>
          <w:lang w:val="sl-SI"/>
        </w:rPr>
        <w:t xml:space="preserve"> </w:t>
      </w:r>
      <w:r w:rsidR="00AF0BE4" w:rsidRPr="00D40FC0">
        <w:rPr>
          <w:snapToGrid w:val="0"/>
          <w:sz w:val="24"/>
          <w:lang w:val="sl-SI"/>
        </w:rPr>
        <w:t>Člena II.13.4 in II.25.3</w:t>
      </w:r>
      <w:r w:rsidRPr="00D40FC0">
        <w:rPr>
          <w:snapToGrid w:val="0"/>
          <w:sz w:val="24"/>
          <w:lang w:val="sl-SI"/>
        </w:rPr>
        <w:t>(c) Sp</w:t>
      </w:r>
      <w:r w:rsidR="00AF0BE4" w:rsidRPr="00D40FC0">
        <w:rPr>
          <w:snapToGrid w:val="0"/>
          <w:sz w:val="24"/>
          <w:lang w:val="sl-SI"/>
        </w:rPr>
        <w:t>lošnih pogojev se ne uporabljata.</w:t>
      </w:r>
      <w:r w:rsidRPr="00D40FC0">
        <w:rPr>
          <w:snapToGrid w:val="0"/>
          <w:sz w:val="24"/>
          <w:lang w:val="sl-SI"/>
        </w:rPr>
        <w:t xml:space="preserve"> </w:t>
      </w:r>
    </w:p>
    <w:p w14:paraId="2D122157" w14:textId="77777777" w:rsidR="006A7B77" w:rsidRPr="00D40FC0" w:rsidRDefault="006A7B77">
      <w:pPr>
        <w:jc w:val="both"/>
        <w:rPr>
          <w:i/>
          <w:iCs/>
          <w:snapToGrid w:val="0"/>
          <w:lang w:val="sl-SI"/>
        </w:rPr>
      </w:pPr>
    </w:p>
    <w:p w14:paraId="2B95D595" w14:textId="77777777" w:rsidR="006A7B77" w:rsidRPr="00D40FC0" w:rsidRDefault="00093F2B">
      <w:pPr>
        <w:pStyle w:val="Heading3contract"/>
        <w:spacing w:after="240"/>
        <w:rPr>
          <w:snapToGrid w:val="0"/>
        </w:rPr>
      </w:pPr>
      <w:r w:rsidRPr="00D40FC0">
        <w:rPr>
          <w:snapToGrid w:val="0"/>
        </w:rPr>
        <w:t>I.1.2 Postopek za dodelitev posebnih nepovratnih sredstev</w:t>
      </w:r>
    </w:p>
    <w:p w14:paraId="2E2F79D7" w14:textId="5DA5237F" w:rsidR="006A7B77" w:rsidRPr="00D40FC0" w:rsidRDefault="00093F2B">
      <w:pPr>
        <w:spacing w:after="240"/>
        <w:jc w:val="both"/>
        <w:rPr>
          <w:iCs/>
          <w:snapToGrid w:val="0"/>
          <w:lang w:val="sl-SI"/>
        </w:rPr>
      </w:pPr>
      <w:r w:rsidRPr="00D40FC0">
        <w:rPr>
          <w:iCs/>
          <w:snapToGrid w:val="0"/>
          <w:lang w:val="sl-SI"/>
        </w:rPr>
        <w:t>NA se lahko posvetuje s svojim partnerjem, da bi dobila predlog za posebno letno prošnjo za nepovratna sredstva za prostovoljne projekte v skladu z akcijskim načrtom iz Priloge II.</w:t>
      </w:r>
      <w:r w:rsidRPr="00D40FC0">
        <w:rPr>
          <w:i/>
          <w:iCs/>
          <w:snapToGrid w:val="0"/>
          <w:lang w:val="sl-SI"/>
        </w:rPr>
        <w:t xml:space="preserve"> </w:t>
      </w:r>
      <w:r w:rsidRPr="00D40FC0">
        <w:rPr>
          <w:iCs/>
          <w:snapToGrid w:val="0"/>
          <w:lang w:val="sl-SI"/>
        </w:rPr>
        <w:t>Tako posvetovanje poteka na podlagi</w:t>
      </w:r>
      <w:r w:rsidRPr="00D40FC0">
        <w:rPr>
          <w:i/>
          <w:iCs/>
          <w:snapToGrid w:val="0"/>
          <w:lang w:val="sl-SI"/>
        </w:rPr>
        <w:t xml:space="preserve"> </w:t>
      </w:r>
      <w:r w:rsidRPr="00D40FC0">
        <w:rPr>
          <w:iCs/>
          <w:snapToGrid w:val="0"/>
          <w:lang w:val="sl-SI"/>
        </w:rPr>
        <w:t xml:space="preserve">razpisa za zbiranje predlogov za vse prijavitelje, ki izpolnjujejo </w:t>
      </w:r>
      <w:r w:rsidR="00AF0BE4" w:rsidRPr="00D40FC0">
        <w:rPr>
          <w:iCs/>
          <w:snapToGrid w:val="0"/>
          <w:lang w:val="sl-SI"/>
        </w:rPr>
        <w:t xml:space="preserve">razpisana </w:t>
      </w:r>
      <w:r w:rsidRPr="00D40FC0">
        <w:rPr>
          <w:iCs/>
          <w:snapToGrid w:val="0"/>
          <w:lang w:val="sl-SI"/>
        </w:rPr>
        <w:t xml:space="preserve">merila. </w:t>
      </w:r>
      <w:r w:rsidRPr="00D40FC0">
        <w:rPr>
          <w:iCs/>
          <w:snapToGrid w:val="0"/>
          <w:vanish/>
          <w:color w:val="800080"/>
          <w:lang w:val="sl-SI"/>
        </w:rPr>
        <w:t xml:space="preserve"> </w:t>
      </w:r>
      <w:r w:rsidRPr="00D40FC0">
        <w:rPr>
          <w:iCs/>
          <w:snapToGrid w:val="0"/>
          <w:lang w:val="sl-SI"/>
        </w:rPr>
        <w:t xml:space="preserve">V razpisu za zbiranje predlogov se opredelijo </w:t>
      </w:r>
      <w:r w:rsidR="00AF0BE4" w:rsidRPr="00D40FC0">
        <w:rPr>
          <w:iCs/>
          <w:snapToGrid w:val="0"/>
          <w:lang w:val="sl-SI"/>
        </w:rPr>
        <w:t xml:space="preserve">uporabljena </w:t>
      </w:r>
      <w:r w:rsidRPr="00D40FC0">
        <w:rPr>
          <w:iCs/>
          <w:snapToGrid w:val="0"/>
          <w:lang w:val="sl-SI"/>
        </w:rPr>
        <w:t>merila za izbiro in dodelitev</w:t>
      </w:r>
      <w:r w:rsidR="00AF0BE4" w:rsidRPr="00D40FC0">
        <w:rPr>
          <w:iCs/>
          <w:snapToGrid w:val="0"/>
          <w:lang w:val="sl-SI"/>
        </w:rPr>
        <w:t xml:space="preserve"> sredstev</w:t>
      </w:r>
      <w:r w:rsidRPr="00D40FC0">
        <w:rPr>
          <w:iCs/>
          <w:snapToGrid w:val="0"/>
          <w:lang w:val="sl-SI"/>
        </w:rPr>
        <w:t>. Partner ni dolžan predložiti predloga v odgovor na takšno posvetovanje.</w:t>
      </w:r>
    </w:p>
    <w:p w14:paraId="6E61F63C" w14:textId="77777777" w:rsidR="006A7B77" w:rsidRPr="00D40FC0" w:rsidRDefault="00093F2B">
      <w:pPr>
        <w:pStyle w:val="Heading3contract"/>
        <w:rPr>
          <w:snapToGrid w:val="0"/>
        </w:rPr>
      </w:pPr>
      <w:r w:rsidRPr="00D40FC0">
        <w:rPr>
          <w:rFonts w:eastAsia="Calibri"/>
        </w:rPr>
        <w:t xml:space="preserve">I.1.3. Sklenitev posebnih sporazumov </w:t>
      </w:r>
    </w:p>
    <w:p w14:paraId="3F30406D" w14:textId="77777777" w:rsidR="006A7B77" w:rsidRPr="00D40FC0" w:rsidRDefault="006A7B77">
      <w:pPr>
        <w:autoSpaceDE w:val="0"/>
        <w:autoSpaceDN w:val="0"/>
        <w:adjustRightInd w:val="0"/>
        <w:ind w:left="709" w:hanging="709"/>
        <w:jc w:val="both"/>
        <w:rPr>
          <w:snapToGrid w:val="0"/>
          <w:lang w:val="sl-SI"/>
        </w:rPr>
      </w:pPr>
    </w:p>
    <w:p w14:paraId="39246D57" w14:textId="72C59CE1" w:rsidR="006A7B77" w:rsidRPr="00D40FC0" w:rsidRDefault="00093F2B">
      <w:pPr>
        <w:jc w:val="both"/>
        <w:rPr>
          <w:snapToGrid w:val="0"/>
          <w:lang w:val="sl-SI"/>
        </w:rPr>
      </w:pPr>
      <w:r w:rsidRPr="00D40FC0">
        <w:rPr>
          <w:snapToGrid w:val="0"/>
          <w:lang w:val="sl-SI"/>
        </w:rPr>
        <w:t xml:space="preserve">Če se NA odloči podeliti </w:t>
      </w:r>
      <w:r w:rsidR="00AF0BE4" w:rsidRPr="00D40FC0">
        <w:rPr>
          <w:snapToGrid w:val="0"/>
          <w:lang w:val="sl-SI"/>
        </w:rPr>
        <w:t>posebna nepovratna sredstva</w:t>
      </w:r>
      <w:r w:rsidRPr="00D40FC0">
        <w:rPr>
          <w:snapToGrid w:val="0"/>
          <w:lang w:val="sl-SI"/>
        </w:rPr>
        <w:t xml:space="preserve">, partnerju predlaga, da podpiše posebni sporazum </w:t>
      </w:r>
      <w:r w:rsidR="00653CA8">
        <w:rPr>
          <w:snapToGrid w:val="0"/>
          <w:lang w:val="sl-SI"/>
        </w:rPr>
        <w:t xml:space="preserve">v skladu s predlogo iz Priloge </w:t>
      </w:r>
      <w:r w:rsidRPr="00D40FC0">
        <w:rPr>
          <w:snapToGrid w:val="0"/>
          <w:lang w:val="sl-SI"/>
        </w:rPr>
        <w:t>VI. Posebni sporazum podpišejo pooblaščeni zastopniki strank.</w:t>
      </w:r>
    </w:p>
    <w:p w14:paraId="458370FB" w14:textId="77777777" w:rsidR="006A7B77" w:rsidRPr="00D40FC0" w:rsidRDefault="006A7B77">
      <w:pPr>
        <w:jc w:val="both"/>
        <w:rPr>
          <w:snapToGrid w:val="0"/>
          <w:lang w:val="sl-SI"/>
        </w:rPr>
      </w:pPr>
    </w:p>
    <w:p w14:paraId="5E9226DF" w14:textId="49ED3A8A" w:rsidR="006A7B77" w:rsidRPr="00D40FC0" w:rsidRDefault="00093F2B">
      <w:pPr>
        <w:jc w:val="both"/>
        <w:rPr>
          <w:snapToGrid w:val="0"/>
          <w:lang w:val="sl-SI"/>
        </w:rPr>
      </w:pPr>
      <w:r w:rsidRPr="00D40FC0">
        <w:rPr>
          <w:snapToGrid w:val="0"/>
          <w:lang w:val="sl-SI"/>
        </w:rPr>
        <w:t xml:space="preserve">S podpisom posebnega sporazuma partner sprejema nepovratna sredstva in soglaša, da bo projekt izvajal na lastno odgovornost v skladu s pogoji, določenimi v okvirnem sporazumu in posebnem sporazumu. </w:t>
      </w:r>
    </w:p>
    <w:p w14:paraId="27EA231D" w14:textId="77777777" w:rsidR="006A7B77" w:rsidRPr="00D40FC0" w:rsidRDefault="006A7B77">
      <w:pPr>
        <w:jc w:val="both"/>
        <w:rPr>
          <w:snapToGrid w:val="0"/>
          <w:lang w:val="sl-SI"/>
        </w:rPr>
      </w:pPr>
    </w:p>
    <w:p w14:paraId="5C51CACD" w14:textId="77777777" w:rsidR="006A7B77" w:rsidRPr="00D40FC0" w:rsidRDefault="00093F2B">
      <w:pPr>
        <w:jc w:val="both"/>
        <w:rPr>
          <w:rFonts w:eastAsia="Calibri"/>
          <w:lang w:val="sl-SI"/>
        </w:rPr>
      </w:pPr>
      <w:r w:rsidRPr="00D40FC0">
        <w:rPr>
          <w:rFonts w:eastAsia="Calibri"/>
          <w:lang w:val="sl-SI"/>
        </w:rPr>
        <w:lastRenderedPageBreak/>
        <w:t xml:space="preserve">Posebni sporazumi se podpišejo pred datumom prenehanja veljavnosti okvirnega sporazuma. </w:t>
      </w:r>
      <w:r w:rsidR="00AF0BE4" w:rsidRPr="00D40FC0">
        <w:rPr>
          <w:rFonts w:eastAsia="Calibri"/>
          <w:lang w:val="sl-SI"/>
        </w:rPr>
        <w:t>Ko se proj</w:t>
      </w:r>
      <w:r w:rsidR="00653CA8">
        <w:rPr>
          <w:rFonts w:eastAsia="Calibri"/>
          <w:lang w:val="sl-SI"/>
        </w:rPr>
        <w:t>e</w:t>
      </w:r>
      <w:r w:rsidR="00AF0BE4" w:rsidRPr="00D40FC0">
        <w:rPr>
          <w:rFonts w:eastAsia="Calibri"/>
          <w:lang w:val="sl-SI"/>
        </w:rPr>
        <w:t>kti</w:t>
      </w:r>
      <w:r w:rsidRPr="00D40FC0">
        <w:rPr>
          <w:rFonts w:eastAsia="Calibri"/>
          <w:lang w:val="sl-SI"/>
        </w:rPr>
        <w:t xml:space="preserve"> izvajajo po zgoraj navedenem datumu, se pogoji okvirnega sporazuma še naprej uporabljajo za izvajanje posebnih sporazumov, ki jih ureja okvirni sporazum. </w:t>
      </w:r>
    </w:p>
    <w:p w14:paraId="48DE0E50" w14:textId="77777777" w:rsidR="006A7B77" w:rsidRPr="00D40FC0" w:rsidRDefault="006A7B77">
      <w:pPr>
        <w:jc w:val="both"/>
        <w:rPr>
          <w:snapToGrid w:val="0"/>
          <w:lang w:val="sl-SI"/>
        </w:rPr>
      </w:pPr>
    </w:p>
    <w:p w14:paraId="09D7E5DD" w14:textId="77777777" w:rsidR="006A7B77" w:rsidRPr="00D40FC0" w:rsidRDefault="00093F2B">
      <w:pPr>
        <w:spacing w:after="200" w:line="276" w:lineRule="auto"/>
        <w:jc w:val="both"/>
        <w:rPr>
          <w:rFonts w:eastAsia="Calibri"/>
          <w:b/>
          <w:lang w:val="sl-SI"/>
        </w:rPr>
      </w:pPr>
      <w:r w:rsidRPr="00D40FC0">
        <w:rPr>
          <w:rFonts w:eastAsia="Calibri"/>
          <w:b/>
          <w:lang w:val="sl-SI"/>
        </w:rPr>
        <w:t>ČLEN I.2 - ZAČETEK VELJAVNOSTI OKVIRNEGA SPORAZUMA IN TRAJANJE PARTNERSTVA</w:t>
      </w:r>
    </w:p>
    <w:p w14:paraId="3A99F7BF" w14:textId="77777777" w:rsidR="006A7B77" w:rsidRPr="00D40FC0" w:rsidRDefault="00093F2B">
      <w:pPr>
        <w:ind w:left="720" w:hanging="720"/>
        <w:jc w:val="both"/>
        <w:rPr>
          <w:rFonts w:eastAsia="Calibri"/>
          <w:lang w:val="sl-SI"/>
        </w:rPr>
      </w:pPr>
      <w:r w:rsidRPr="00D40FC0">
        <w:rPr>
          <w:rFonts w:eastAsia="Calibri"/>
          <w:b/>
          <w:lang w:val="sl-SI"/>
        </w:rPr>
        <w:t>I.2.1</w:t>
      </w:r>
      <w:r w:rsidR="006D170B" w:rsidRPr="00D40FC0">
        <w:rPr>
          <w:rFonts w:eastAsia="Calibri"/>
          <w:b/>
          <w:lang w:val="sl-SI"/>
        </w:rPr>
        <w:t xml:space="preserve"> </w:t>
      </w:r>
      <w:r w:rsidRPr="00D40FC0">
        <w:rPr>
          <w:snapToGrid w:val="0"/>
          <w:lang w:val="sl-SI"/>
        </w:rPr>
        <w:t>Okvirni sporazum</w:t>
      </w:r>
      <w:r w:rsidRPr="00D40FC0">
        <w:rPr>
          <w:rFonts w:eastAsia="Calibri"/>
          <w:lang w:val="sl-SI"/>
        </w:rPr>
        <w:t xml:space="preserve"> začne veljati na dan podpisa zadnje stranke.</w:t>
      </w:r>
    </w:p>
    <w:p w14:paraId="3FC23786" w14:textId="77777777" w:rsidR="006A7B77" w:rsidRPr="00D40FC0" w:rsidRDefault="006A7B77">
      <w:pPr>
        <w:ind w:left="720" w:hanging="720"/>
        <w:jc w:val="both"/>
        <w:rPr>
          <w:rFonts w:eastAsia="Calibri"/>
          <w:lang w:val="sl-SI"/>
        </w:rPr>
      </w:pPr>
    </w:p>
    <w:p w14:paraId="18D8E10E" w14:textId="77777777" w:rsidR="006A7B77" w:rsidRPr="00D40FC0" w:rsidRDefault="00093F2B">
      <w:pPr>
        <w:spacing w:line="276" w:lineRule="auto"/>
        <w:ind w:left="709" w:hanging="709"/>
        <w:jc w:val="both"/>
        <w:rPr>
          <w:snapToGrid w:val="0"/>
          <w:lang w:val="sl-SI"/>
        </w:rPr>
      </w:pPr>
      <w:r w:rsidRPr="00D40FC0">
        <w:rPr>
          <w:rFonts w:eastAsia="Calibri"/>
          <w:b/>
          <w:lang w:val="sl-SI"/>
        </w:rPr>
        <w:t>I.2.2</w:t>
      </w:r>
      <w:r w:rsidR="006D170B" w:rsidRPr="00D40FC0">
        <w:rPr>
          <w:rFonts w:eastAsia="Calibri"/>
          <w:b/>
          <w:lang w:val="sl-SI"/>
        </w:rPr>
        <w:t xml:space="preserve"> </w:t>
      </w:r>
      <w:r w:rsidRPr="00D40FC0">
        <w:rPr>
          <w:snapToGrid w:val="0"/>
          <w:lang w:val="sl-SI"/>
        </w:rPr>
        <w:t>Okvirni sporazum</w:t>
      </w:r>
      <w:r w:rsidRPr="00D40FC0">
        <w:rPr>
          <w:rFonts w:eastAsia="Calibri"/>
          <w:lang w:val="sl-SI"/>
        </w:rPr>
        <w:t xml:space="preserve"> se sklene za obdobje</w:t>
      </w:r>
      <w:r w:rsidR="006D170B" w:rsidRPr="00D40FC0">
        <w:rPr>
          <w:rFonts w:eastAsia="Calibri"/>
          <w:lang w:val="sl-SI"/>
        </w:rPr>
        <w:t xml:space="preserve"> </w:t>
      </w:r>
      <w:r w:rsidRPr="00D40FC0">
        <w:rPr>
          <w:rFonts w:eastAsia="Calibri"/>
          <w:b/>
          <w:lang w:val="sl-SI"/>
        </w:rPr>
        <w:t>3 let</w:t>
      </w:r>
      <w:r w:rsidRPr="00D40FC0">
        <w:rPr>
          <w:b/>
          <w:snapToGrid w:val="0"/>
          <w:lang w:val="sl-SI"/>
        </w:rPr>
        <w:t xml:space="preserve"> </w:t>
      </w:r>
      <w:r w:rsidR="0091250A" w:rsidRPr="00D40FC0">
        <w:rPr>
          <w:snapToGrid w:val="0"/>
          <w:lang w:val="sl-SI"/>
        </w:rPr>
        <w:t>od začetka</w:t>
      </w:r>
      <w:r w:rsidRPr="00D40FC0">
        <w:rPr>
          <w:snapToGrid w:val="0"/>
          <w:lang w:val="sl-SI"/>
        </w:rPr>
        <w:t xml:space="preserve"> veljavnosti.</w:t>
      </w:r>
    </w:p>
    <w:p w14:paraId="533E939A" w14:textId="77777777" w:rsidR="006A7B77" w:rsidRPr="00D40FC0" w:rsidRDefault="006A7B77">
      <w:pPr>
        <w:spacing w:line="276" w:lineRule="auto"/>
        <w:ind w:left="709" w:hanging="709"/>
        <w:jc w:val="both"/>
        <w:rPr>
          <w:snapToGrid w:val="0"/>
          <w:lang w:val="sl-SI"/>
        </w:rPr>
      </w:pPr>
    </w:p>
    <w:p w14:paraId="22B159A8" w14:textId="77777777" w:rsidR="006A7B77" w:rsidRPr="00D40FC0" w:rsidRDefault="00093F2B">
      <w:pPr>
        <w:pStyle w:val="Heading1"/>
        <w:jc w:val="both"/>
      </w:pPr>
      <w:r w:rsidRPr="00D40FC0">
        <w:t xml:space="preserve">ČLEN I.3 - </w:t>
      </w:r>
      <w:r w:rsidR="0091250A" w:rsidRPr="00D40FC0">
        <w:t>UPRAVLJAVEC</w:t>
      </w:r>
      <w:r w:rsidRPr="00D40FC0">
        <w:t xml:space="preserve"> PODATKOV IN </w:t>
      </w:r>
      <w:r w:rsidR="00A8007F" w:rsidRPr="00D40FC0">
        <w:t>KONTAKTNI PODATKI STRANK</w:t>
      </w:r>
    </w:p>
    <w:p w14:paraId="08C94C4A" w14:textId="77777777" w:rsidR="006A7B77" w:rsidRPr="00D40FC0" w:rsidRDefault="006A7B77">
      <w:pPr>
        <w:jc w:val="both"/>
        <w:rPr>
          <w:b/>
          <w:lang w:val="sl-SI"/>
        </w:rPr>
      </w:pPr>
    </w:p>
    <w:p w14:paraId="2D806696" w14:textId="77777777" w:rsidR="006A7B77" w:rsidRPr="00D40FC0" w:rsidRDefault="00093F2B">
      <w:pPr>
        <w:rPr>
          <w:b/>
          <w:lang w:val="sl-SI"/>
        </w:rPr>
      </w:pPr>
      <w:r w:rsidRPr="00D40FC0">
        <w:rPr>
          <w:b/>
          <w:lang w:val="sl-SI"/>
        </w:rPr>
        <w:t>I.3.1 Upravljavec podatkov</w:t>
      </w:r>
    </w:p>
    <w:p w14:paraId="31EC48B5" w14:textId="77777777" w:rsidR="006A7B77" w:rsidRPr="00D40FC0" w:rsidRDefault="00A8007F">
      <w:pPr>
        <w:spacing w:before="240"/>
        <w:jc w:val="both"/>
        <w:rPr>
          <w:lang w:val="sl-SI"/>
        </w:rPr>
      </w:pPr>
      <w:r w:rsidRPr="00D40FC0">
        <w:rPr>
          <w:rStyle w:val="tlid-translation"/>
          <w:lang w:val="sl-SI"/>
        </w:rPr>
        <w:t>Subjekt, ki deluje kot upravljavec podatkov v skladu s členom</w:t>
      </w:r>
      <w:r w:rsidR="00093F2B" w:rsidRPr="00D40FC0">
        <w:rPr>
          <w:rFonts w:eastAsia="Calibri"/>
          <w:lang w:val="sl-SI"/>
        </w:rPr>
        <w:t xml:space="preserve"> II</w:t>
      </w:r>
      <w:r w:rsidR="006D170B" w:rsidRPr="00D40FC0">
        <w:rPr>
          <w:rFonts w:eastAsia="Calibri"/>
          <w:lang w:val="sl-SI"/>
        </w:rPr>
        <w:t>.</w:t>
      </w:r>
      <w:r w:rsidR="00093F2B" w:rsidRPr="00D40FC0">
        <w:rPr>
          <w:lang w:val="sl-SI"/>
        </w:rPr>
        <w:t>7</w:t>
      </w:r>
      <w:r w:rsidRPr="00D40FC0">
        <w:rPr>
          <w:lang w:val="sl-SI"/>
        </w:rPr>
        <w:t>,</w:t>
      </w:r>
      <w:r w:rsidR="00093F2B" w:rsidRPr="00D40FC0">
        <w:rPr>
          <w:lang w:val="sl-SI"/>
        </w:rPr>
        <w:t xml:space="preserve"> je:</w:t>
      </w:r>
    </w:p>
    <w:p w14:paraId="50AE14C8" w14:textId="77777777" w:rsidR="006A7B77" w:rsidRPr="00D40FC0" w:rsidRDefault="006A7B77">
      <w:pPr>
        <w:pStyle w:val="NormalIndent"/>
        <w:keepNext/>
        <w:widowControl w:val="0"/>
        <w:spacing w:after="0"/>
        <w:ind w:left="426"/>
      </w:pPr>
    </w:p>
    <w:p w14:paraId="41600C01" w14:textId="77777777" w:rsidR="006A7B77" w:rsidRPr="00D40FC0" w:rsidRDefault="00093F2B">
      <w:pPr>
        <w:pStyle w:val="NormalIndent"/>
        <w:keepNext/>
        <w:widowControl w:val="0"/>
        <w:spacing w:after="0"/>
        <w:ind w:left="426"/>
      </w:pPr>
      <w:r w:rsidRPr="00D40FC0">
        <w:t>Sophie BEERNAERTS</w:t>
      </w:r>
    </w:p>
    <w:p w14:paraId="1CB969EB" w14:textId="77777777" w:rsidR="006A7B77" w:rsidRPr="00D40FC0" w:rsidRDefault="00093F2B">
      <w:pPr>
        <w:pStyle w:val="NormalIndent"/>
        <w:keepNext/>
        <w:widowControl w:val="0"/>
        <w:spacing w:after="0"/>
        <w:ind w:left="426"/>
      </w:pPr>
      <w:r w:rsidRPr="00D40FC0">
        <w:t>Vodja enote</w:t>
      </w:r>
    </w:p>
    <w:p w14:paraId="102110E6" w14:textId="77777777" w:rsidR="006A7B77" w:rsidRPr="00D40FC0" w:rsidRDefault="00093F2B">
      <w:pPr>
        <w:pStyle w:val="NormalIndent"/>
        <w:keepNext/>
        <w:widowControl w:val="0"/>
        <w:spacing w:after="0"/>
        <w:ind w:left="426"/>
      </w:pPr>
      <w:r w:rsidRPr="00D40FC0">
        <w:t>Evropska komisija</w:t>
      </w:r>
    </w:p>
    <w:p w14:paraId="5F9207B1" w14:textId="77777777" w:rsidR="006A7B77" w:rsidRPr="00D40FC0" w:rsidRDefault="00093F2B">
      <w:pPr>
        <w:pStyle w:val="NormalIndent"/>
        <w:keepNext/>
        <w:widowControl w:val="0"/>
        <w:spacing w:after="0"/>
        <w:ind w:left="426"/>
      </w:pPr>
      <w:r w:rsidRPr="00D40FC0">
        <w:t>Generalni direktorat za izobraževanje, mladino, šport in kulturo</w:t>
      </w:r>
    </w:p>
    <w:p w14:paraId="003DFDBA" w14:textId="77777777" w:rsidR="006A7B77" w:rsidRPr="00D40FC0" w:rsidRDefault="00093F2B">
      <w:pPr>
        <w:pStyle w:val="NormalIndent"/>
        <w:keepNext/>
        <w:widowControl w:val="0"/>
        <w:spacing w:after="0"/>
        <w:ind w:left="426"/>
      </w:pPr>
      <w:r w:rsidRPr="00D40FC0">
        <w:t xml:space="preserve">Enota EAC.B.4 </w:t>
      </w:r>
    </w:p>
    <w:p w14:paraId="653B75AD" w14:textId="77777777" w:rsidR="006A7B77" w:rsidRPr="00D40FC0" w:rsidRDefault="00093F2B">
      <w:pPr>
        <w:pStyle w:val="NormalIndent"/>
        <w:keepNext/>
        <w:widowControl w:val="0"/>
        <w:spacing w:after="0"/>
        <w:ind w:left="426"/>
      </w:pPr>
      <w:r w:rsidRPr="00D40FC0">
        <w:t>B-1049 Bruselj</w:t>
      </w:r>
    </w:p>
    <w:p w14:paraId="351E5507" w14:textId="77777777" w:rsidR="006A7B77" w:rsidRPr="00D40FC0" w:rsidRDefault="00093F2B">
      <w:pPr>
        <w:pStyle w:val="NormalIndent"/>
        <w:keepNext/>
        <w:widowControl w:val="0"/>
        <w:spacing w:after="0"/>
        <w:ind w:left="426"/>
      </w:pPr>
      <w:r w:rsidRPr="00D40FC0">
        <w:t>Belgija</w:t>
      </w:r>
    </w:p>
    <w:p w14:paraId="67B0B3F9" w14:textId="77777777" w:rsidR="006A7B77" w:rsidRPr="00D40FC0" w:rsidRDefault="006A7B77">
      <w:pPr>
        <w:rPr>
          <w:lang w:val="sl-SI"/>
        </w:rPr>
      </w:pPr>
    </w:p>
    <w:p w14:paraId="00F54DC6" w14:textId="77777777" w:rsidR="006A7B77" w:rsidRPr="00D40FC0" w:rsidRDefault="00093F2B">
      <w:pPr>
        <w:ind w:left="720" w:hanging="720"/>
        <w:jc w:val="both"/>
        <w:rPr>
          <w:b/>
          <w:lang w:val="sl-SI"/>
        </w:rPr>
      </w:pPr>
      <w:r w:rsidRPr="00D40FC0">
        <w:rPr>
          <w:b/>
          <w:lang w:val="sl-SI"/>
        </w:rPr>
        <w:t>I.3.2 Kontaktni podatki NA</w:t>
      </w:r>
    </w:p>
    <w:p w14:paraId="5DB55123" w14:textId="77777777" w:rsidR="006A7B77" w:rsidRPr="00D40FC0" w:rsidRDefault="006A7B77">
      <w:pPr>
        <w:ind w:left="720" w:hanging="720"/>
        <w:jc w:val="both"/>
        <w:rPr>
          <w:lang w:val="sl-SI"/>
        </w:rPr>
      </w:pPr>
    </w:p>
    <w:p w14:paraId="0FF68C01" w14:textId="77777777" w:rsidR="006A7B77" w:rsidRPr="00D40FC0" w:rsidRDefault="00093F2B">
      <w:pPr>
        <w:jc w:val="both"/>
        <w:rPr>
          <w:lang w:val="sl-SI"/>
        </w:rPr>
      </w:pPr>
      <w:r w:rsidRPr="00D40FC0">
        <w:rPr>
          <w:lang w:val="sl-SI"/>
        </w:rPr>
        <w:t>Vsa sporočila, naslovljena na NA, je treba poslati na naslednji naslov:</w:t>
      </w:r>
    </w:p>
    <w:p w14:paraId="0065AA9B" w14:textId="77777777" w:rsidR="006A7B77" w:rsidRPr="00D40FC0" w:rsidRDefault="006A7B77">
      <w:pPr>
        <w:ind w:left="720"/>
        <w:rPr>
          <w:lang w:val="sl-SI"/>
        </w:rPr>
      </w:pPr>
    </w:p>
    <w:p w14:paraId="72D38D04" w14:textId="77777777" w:rsidR="00C079CC" w:rsidRPr="00176F71" w:rsidRDefault="00C079CC" w:rsidP="00C079CC">
      <w:pPr>
        <w:pStyle w:val="NoSpacing"/>
        <w:ind w:left="720"/>
        <w:rPr>
          <w:b/>
        </w:rPr>
      </w:pPr>
      <w:r>
        <w:rPr>
          <w:b/>
        </w:rPr>
        <w:t>MOVIT</w:t>
      </w:r>
    </w:p>
    <w:p w14:paraId="38D5CC36" w14:textId="77777777" w:rsidR="00C079CC" w:rsidRPr="00176F71" w:rsidRDefault="00C079CC" w:rsidP="00C079CC">
      <w:pPr>
        <w:pStyle w:val="NoSpacing"/>
        <w:ind w:left="720"/>
      </w:pPr>
      <w:r w:rsidRPr="00176F71">
        <w:t xml:space="preserve">Dunajska </w:t>
      </w:r>
      <w:r>
        <w:t xml:space="preserve">cesta </w:t>
      </w:r>
      <w:r w:rsidRPr="00176F71">
        <w:t>5</w:t>
      </w:r>
    </w:p>
    <w:p w14:paraId="7D0813E6" w14:textId="77777777" w:rsidR="00C079CC" w:rsidRPr="00176F71" w:rsidRDefault="00C079CC" w:rsidP="00C079CC">
      <w:pPr>
        <w:pStyle w:val="NoSpacing"/>
        <w:ind w:left="720"/>
      </w:pPr>
      <w:r w:rsidRPr="00176F71">
        <w:t>1000 Ljubljana, Slovenija</w:t>
      </w:r>
    </w:p>
    <w:p w14:paraId="39F0480E" w14:textId="2711AB36" w:rsidR="00C079CC" w:rsidRDefault="001005F7" w:rsidP="00C079CC">
      <w:pPr>
        <w:pStyle w:val="NoSpacing"/>
        <w:ind w:left="720"/>
      </w:pPr>
      <w:r>
        <w:t>Elektronski</w:t>
      </w:r>
      <w:r w:rsidR="00C079CC" w:rsidRPr="00176F71">
        <w:t xml:space="preserve"> naslov: </w:t>
      </w:r>
      <w:hyperlink r:id="rId11" w:history="1">
        <w:r w:rsidR="00C079CC" w:rsidRPr="00A047EB">
          <w:rPr>
            <w:rStyle w:val="Hyperlink"/>
          </w:rPr>
          <w:t>info@movit.si</w:t>
        </w:r>
      </w:hyperlink>
    </w:p>
    <w:p w14:paraId="4DD0FA32" w14:textId="77777777" w:rsidR="006A7B77" w:rsidRPr="00D40FC0" w:rsidRDefault="006A7B77">
      <w:pPr>
        <w:ind w:left="709"/>
        <w:rPr>
          <w:i/>
          <w:color w:val="000000"/>
          <w:lang w:val="sl-SI"/>
        </w:rPr>
      </w:pPr>
    </w:p>
    <w:p w14:paraId="651B27D4" w14:textId="5163BC72" w:rsidR="006A7B77" w:rsidRPr="00D40FC0" w:rsidRDefault="00093F2B">
      <w:pPr>
        <w:ind w:left="720" w:hanging="720"/>
        <w:jc w:val="both"/>
        <w:rPr>
          <w:b/>
          <w:lang w:val="sl-SI"/>
        </w:rPr>
      </w:pPr>
      <w:r w:rsidRPr="00D40FC0">
        <w:rPr>
          <w:b/>
          <w:lang w:val="sl-SI"/>
        </w:rPr>
        <w:t>I.3.3 Podrobnosti o komunikaciji partnerja</w:t>
      </w:r>
    </w:p>
    <w:p w14:paraId="5DD3DDC9" w14:textId="77777777" w:rsidR="006A7B77" w:rsidRPr="00D40FC0" w:rsidRDefault="006A7B77">
      <w:pPr>
        <w:ind w:left="720" w:hanging="720"/>
        <w:jc w:val="both"/>
        <w:rPr>
          <w:b/>
          <w:lang w:val="sl-SI"/>
        </w:rPr>
      </w:pPr>
    </w:p>
    <w:p w14:paraId="23F045D5" w14:textId="71699C61" w:rsidR="006A7B77" w:rsidRPr="00D40FC0" w:rsidRDefault="00093F2B">
      <w:pPr>
        <w:jc w:val="both"/>
        <w:rPr>
          <w:i/>
          <w:lang w:val="sl-SI"/>
        </w:rPr>
      </w:pPr>
      <w:r w:rsidRPr="00D40FC0">
        <w:rPr>
          <w:lang w:val="sl-SI"/>
        </w:rPr>
        <w:t xml:space="preserve">Vsako sporočilo NA </w:t>
      </w:r>
      <w:r w:rsidR="00A8007F" w:rsidRPr="00D40FC0">
        <w:rPr>
          <w:lang w:val="sl-SI"/>
        </w:rPr>
        <w:t>s strani</w:t>
      </w:r>
      <w:r w:rsidRPr="00D40FC0">
        <w:rPr>
          <w:lang w:val="sl-SI"/>
        </w:rPr>
        <w:t xml:space="preserve"> partnerja mora biti poslano na naslednji naslov:</w:t>
      </w:r>
    </w:p>
    <w:p w14:paraId="53B3BFBD" w14:textId="77777777" w:rsidR="006A7B77" w:rsidRPr="00D40FC0" w:rsidRDefault="006A7B77">
      <w:pPr>
        <w:jc w:val="both"/>
        <w:rPr>
          <w:lang w:val="sl-SI"/>
        </w:rPr>
      </w:pPr>
    </w:p>
    <w:p w14:paraId="31CF9AD1" w14:textId="77777777" w:rsidR="006A7B77" w:rsidRPr="00D40FC0" w:rsidRDefault="00093F2B">
      <w:pPr>
        <w:rPr>
          <w:shd w:val="clear" w:color="auto" w:fill="C0C0C0"/>
          <w:lang w:val="sl-SI"/>
        </w:rPr>
      </w:pPr>
      <w:r w:rsidRPr="00D40FC0">
        <w:rPr>
          <w:shd w:val="clear" w:color="auto" w:fill="C0C0C0"/>
          <w:lang w:val="sl-SI"/>
        </w:rPr>
        <w:t xml:space="preserve">[polno uradno ime partnerja] </w:t>
      </w:r>
    </w:p>
    <w:p w14:paraId="0472FFA6" w14:textId="77777777" w:rsidR="006A7B77" w:rsidRPr="00D40FC0" w:rsidRDefault="006D170B">
      <w:pPr>
        <w:rPr>
          <w:shd w:val="clear" w:color="auto" w:fill="C0C0C0"/>
          <w:lang w:val="sl-SI"/>
        </w:rPr>
      </w:pPr>
      <w:r w:rsidRPr="00D40FC0">
        <w:rPr>
          <w:shd w:val="clear" w:color="auto" w:fill="C0C0C0"/>
          <w:lang w:val="sl-SI"/>
        </w:rPr>
        <w:t>[p</w:t>
      </w:r>
      <w:r w:rsidR="00093F2B" w:rsidRPr="00D40FC0">
        <w:rPr>
          <w:shd w:val="clear" w:color="auto" w:fill="C0C0C0"/>
          <w:lang w:val="sl-SI"/>
        </w:rPr>
        <w:t>olni uradni naslov]</w:t>
      </w:r>
    </w:p>
    <w:p w14:paraId="4AC62DDD" w14:textId="5BE4218E" w:rsidR="006A7B77" w:rsidRPr="00D40FC0" w:rsidRDefault="00093F2B">
      <w:pPr>
        <w:rPr>
          <w:shd w:val="clear" w:color="auto" w:fill="C0C0C0"/>
          <w:lang w:val="sl-SI"/>
        </w:rPr>
      </w:pPr>
      <w:r w:rsidRPr="00D40FC0">
        <w:rPr>
          <w:lang w:val="sl-SI"/>
        </w:rPr>
        <w:t>E</w:t>
      </w:r>
      <w:r w:rsidR="007A5379">
        <w:rPr>
          <w:lang w:val="sl-SI"/>
        </w:rPr>
        <w:t xml:space="preserve">lektronski </w:t>
      </w:r>
      <w:r w:rsidRPr="00D40FC0">
        <w:rPr>
          <w:lang w:val="sl-SI"/>
        </w:rPr>
        <w:t>naslov</w:t>
      </w:r>
      <w:r w:rsidR="007A5379">
        <w:rPr>
          <w:lang w:val="sl-SI"/>
        </w:rPr>
        <w:t xml:space="preserve"> kontaktne osebe</w:t>
      </w:r>
      <w:r w:rsidRPr="00D40FC0">
        <w:rPr>
          <w:lang w:val="sl-SI"/>
        </w:rPr>
        <w:t xml:space="preserve">: </w:t>
      </w:r>
      <w:r w:rsidRPr="00D40FC0">
        <w:rPr>
          <w:shd w:val="clear" w:color="auto" w:fill="C0C0C0"/>
          <w:lang w:val="sl-SI"/>
        </w:rPr>
        <w:t>[uradni e-poštni naslov partnerja]</w:t>
      </w:r>
    </w:p>
    <w:p w14:paraId="2FDA57B8" w14:textId="77777777" w:rsidR="006A7B77" w:rsidRPr="00D40FC0" w:rsidRDefault="00093F2B">
      <w:pPr>
        <w:spacing w:before="240"/>
        <w:jc w:val="both"/>
        <w:rPr>
          <w:rFonts w:eastAsia="Calibri"/>
          <w:b/>
          <w:caps/>
          <w:lang w:val="sl-SI"/>
        </w:rPr>
      </w:pPr>
      <w:r w:rsidRPr="00D40FC0">
        <w:rPr>
          <w:rFonts w:eastAsia="Calibri"/>
          <w:b/>
          <w:caps/>
          <w:lang w:val="sl-SI"/>
        </w:rPr>
        <w:t>člen I.4 - REŠEVANJE SPOROV S PARTNERJEM IZVEN EU</w:t>
      </w:r>
    </w:p>
    <w:p w14:paraId="6663FEEA" w14:textId="77777777" w:rsidR="006A7B77" w:rsidRPr="00D40FC0" w:rsidRDefault="00093F2B">
      <w:pPr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eastAsia="Calibri"/>
          <w:iCs/>
          <w:lang w:val="sl-SI"/>
        </w:rPr>
      </w:pPr>
      <w:r w:rsidRPr="00D40FC0">
        <w:rPr>
          <w:rFonts w:eastAsia="Calibri"/>
          <w:iCs/>
          <w:lang w:val="sl-SI"/>
        </w:rPr>
        <w:t>Se ne uporablja.</w:t>
      </w:r>
    </w:p>
    <w:p w14:paraId="25374561" w14:textId="77777777" w:rsidR="006A7B77" w:rsidRPr="00D40FC0" w:rsidRDefault="00C131B4">
      <w:pPr>
        <w:spacing w:before="240"/>
        <w:jc w:val="both"/>
        <w:rPr>
          <w:rFonts w:eastAsia="Calibri"/>
          <w:b/>
          <w:caps/>
          <w:lang w:val="sl-SI"/>
        </w:rPr>
      </w:pPr>
      <w:bookmarkStart w:id="1" w:name="_Toc529786082"/>
      <w:r>
        <w:rPr>
          <w:rFonts w:eastAsia="Calibri"/>
          <w:b/>
          <w:caps/>
          <w:lang w:val="sl-SI"/>
        </w:rPr>
        <w:t xml:space="preserve">ČLEN I.5 – </w:t>
      </w:r>
      <w:r w:rsidRPr="00D40FC0">
        <w:rPr>
          <w:rFonts w:eastAsia="Calibri"/>
          <w:b/>
          <w:caps/>
          <w:lang w:val="sl-SI"/>
        </w:rPr>
        <w:t>POSEBNA ODSTOPANJA OD PRILOGE I – SPLOŠNI POGOJI</w:t>
      </w:r>
      <w:bookmarkEnd w:id="1"/>
    </w:p>
    <w:p w14:paraId="546D6311" w14:textId="77777777" w:rsidR="006A7B77" w:rsidRPr="00D40FC0" w:rsidRDefault="00093F2B">
      <w:pPr>
        <w:spacing w:before="240"/>
        <w:jc w:val="both"/>
        <w:rPr>
          <w:lang w:val="sl-SI"/>
        </w:rPr>
      </w:pPr>
      <w:r w:rsidRPr="00D40FC0">
        <w:rPr>
          <w:lang w:val="sl-SI"/>
        </w:rPr>
        <w:lastRenderedPageBreak/>
        <w:t>1. Če ni določeno drugače, se za namene tega sporazuma v Pri</w:t>
      </w:r>
      <w:r w:rsidR="00A8007F" w:rsidRPr="00D40FC0">
        <w:rPr>
          <w:lang w:val="sl-SI"/>
        </w:rPr>
        <w:t>logi I – Splošni pogoji, izraz ''Komisija'' razume v pomenu ''nacionalna agencija'', izraz ''ukrep'' se razume v pomenu ''projek</w:t>
      </w:r>
      <w:r w:rsidR="00F4438A" w:rsidRPr="00D40FC0">
        <w:rPr>
          <w:lang w:val="sl-SI"/>
        </w:rPr>
        <w:t>t</w:t>
      </w:r>
      <w:r w:rsidR="00A8007F" w:rsidRPr="00D40FC0">
        <w:rPr>
          <w:lang w:val="sl-SI"/>
        </w:rPr>
        <w:t>'', izraz ''strošek na enoto'' pa v pomenu ''prispevek na enoto''. Izraz ''upravičenec''</w:t>
      </w:r>
      <w:r w:rsidR="00653CA8">
        <w:rPr>
          <w:lang w:val="sl-SI"/>
        </w:rPr>
        <w:t xml:space="preserve"> je treba razumeti kot ''partner''</w:t>
      </w:r>
      <w:r w:rsidRPr="00D40FC0">
        <w:rPr>
          <w:lang w:val="sl-SI"/>
        </w:rPr>
        <w:t>. Če ni določeno drugače, se za namene tega sporazum</w:t>
      </w:r>
      <w:r w:rsidR="00F4438A" w:rsidRPr="00D40FC0">
        <w:rPr>
          <w:lang w:val="sl-SI"/>
        </w:rPr>
        <w:t>a v Prilogi I – Splošni pogoji izraz ''računovodski izkaz'' razume v pomenu ''</w:t>
      </w:r>
      <w:r w:rsidRPr="00D40FC0">
        <w:rPr>
          <w:lang w:val="sl-SI"/>
        </w:rPr>
        <w:t xml:space="preserve">proračunski del </w:t>
      </w:r>
      <w:r w:rsidR="00F4438A" w:rsidRPr="00D40FC0">
        <w:rPr>
          <w:lang w:val="sl-SI"/>
        </w:rPr>
        <w:t>poročila''</w:t>
      </w:r>
      <w:r w:rsidRPr="00D40FC0">
        <w:rPr>
          <w:lang w:val="sl-SI"/>
        </w:rPr>
        <w:t xml:space="preserve">. </w:t>
      </w:r>
    </w:p>
    <w:p w14:paraId="037E724C" w14:textId="77777777" w:rsidR="006A7B77" w:rsidRPr="00D40FC0" w:rsidRDefault="006A7B77">
      <w:pPr>
        <w:spacing w:before="240"/>
        <w:jc w:val="both"/>
        <w:rPr>
          <w:lang w:val="sl-SI"/>
        </w:rPr>
      </w:pPr>
    </w:p>
    <w:p w14:paraId="24F38F66" w14:textId="77777777" w:rsidR="006A7B77" w:rsidRPr="00D40FC0" w:rsidRDefault="00093F2B">
      <w:pPr>
        <w:jc w:val="both"/>
        <w:rPr>
          <w:lang w:val="sl-SI"/>
        </w:rPr>
      </w:pPr>
      <w:r w:rsidRPr="00D40FC0">
        <w:rPr>
          <w:lang w:val="sl-SI"/>
        </w:rPr>
        <w:t>V členu II.4.1, člen</w:t>
      </w:r>
      <w:r w:rsidR="00F4438A" w:rsidRPr="00D40FC0">
        <w:rPr>
          <w:lang w:val="sl-SI"/>
        </w:rPr>
        <w:t>u</w:t>
      </w:r>
      <w:r w:rsidRPr="00D40FC0">
        <w:rPr>
          <w:lang w:val="sl-SI"/>
        </w:rPr>
        <w:t xml:space="preserve"> II.8.2, člen</w:t>
      </w:r>
      <w:r w:rsidR="00F4438A" w:rsidRPr="00D40FC0">
        <w:rPr>
          <w:lang w:val="sl-SI"/>
        </w:rPr>
        <w:t>u</w:t>
      </w:r>
      <w:r w:rsidRPr="00D40FC0">
        <w:rPr>
          <w:lang w:val="sl-SI"/>
        </w:rPr>
        <w:t xml:space="preserve"> II.20.3, člen</w:t>
      </w:r>
      <w:r w:rsidR="00F4438A" w:rsidRPr="00D40FC0">
        <w:rPr>
          <w:lang w:val="sl-SI"/>
        </w:rPr>
        <w:t>u</w:t>
      </w:r>
      <w:r w:rsidRPr="00D40FC0">
        <w:rPr>
          <w:lang w:val="sl-SI"/>
        </w:rPr>
        <w:t xml:space="preserve"> II.27.1, člen</w:t>
      </w:r>
      <w:r w:rsidR="00F4438A" w:rsidRPr="00D40FC0">
        <w:rPr>
          <w:lang w:val="sl-SI"/>
        </w:rPr>
        <w:t>u II.27.3, prvemu odstavku člena II.27.4, prvemu odstavku</w:t>
      </w:r>
      <w:r w:rsidRPr="00D40FC0">
        <w:rPr>
          <w:lang w:val="sl-SI"/>
        </w:rPr>
        <w:t xml:space="preserve"> člena II.27.8. in v členu II.27.9 se izraz </w:t>
      </w:r>
      <w:r w:rsidR="006D170B" w:rsidRPr="00D40FC0">
        <w:rPr>
          <w:lang w:val="sl-SI"/>
        </w:rPr>
        <w:t>''</w:t>
      </w:r>
      <w:r w:rsidRPr="00D40FC0">
        <w:rPr>
          <w:lang w:val="sl-SI"/>
        </w:rPr>
        <w:t>Komisija</w:t>
      </w:r>
      <w:r w:rsidR="006D170B" w:rsidRPr="00D40FC0">
        <w:rPr>
          <w:lang w:val="sl-SI"/>
        </w:rPr>
        <w:t>''</w:t>
      </w:r>
      <w:r w:rsidRPr="00D40FC0">
        <w:rPr>
          <w:lang w:val="sl-SI"/>
        </w:rPr>
        <w:t xml:space="preserve"> razume kot </w:t>
      </w:r>
      <w:r w:rsidR="006D170B" w:rsidRPr="00D40FC0">
        <w:rPr>
          <w:lang w:val="sl-SI"/>
        </w:rPr>
        <w:t>''</w:t>
      </w:r>
      <w:r w:rsidRPr="00D40FC0">
        <w:rPr>
          <w:lang w:val="sl-SI"/>
        </w:rPr>
        <w:t>nacionalna agencija in Komisija</w:t>
      </w:r>
      <w:r w:rsidR="006D170B" w:rsidRPr="00D40FC0">
        <w:rPr>
          <w:lang w:val="sl-SI"/>
        </w:rPr>
        <w:t>''</w:t>
      </w:r>
      <w:r w:rsidRPr="00D40FC0">
        <w:rPr>
          <w:lang w:val="sl-SI"/>
        </w:rPr>
        <w:t xml:space="preserve">. </w:t>
      </w:r>
    </w:p>
    <w:p w14:paraId="2ED101F7" w14:textId="77777777" w:rsidR="006A7B77" w:rsidRPr="00D40FC0" w:rsidRDefault="00F4438A">
      <w:pPr>
        <w:jc w:val="both"/>
        <w:rPr>
          <w:lang w:val="sl-SI"/>
        </w:rPr>
      </w:pPr>
      <w:r w:rsidRPr="00D40FC0">
        <w:rPr>
          <w:lang w:val="sl-SI"/>
        </w:rPr>
        <w:t>V členu II.12 se izraz ''finančna podpora''</w:t>
      </w:r>
      <w:r w:rsidR="00093F2B" w:rsidRPr="00D40FC0">
        <w:rPr>
          <w:lang w:val="sl-SI"/>
        </w:rPr>
        <w:t xml:space="preserve"> razume v pomenu </w:t>
      </w:r>
      <w:r w:rsidR="006D170B" w:rsidRPr="00D40FC0">
        <w:rPr>
          <w:lang w:val="sl-SI"/>
        </w:rPr>
        <w:t>''</w:t>
      </w:r>
      <w:r w:rsidR="00093F2B" w:rsidRPr="00D40FC0">
        <w:rPr>
          <w:lang w:val="sl-SI"/>
        </w:rPr>
        <w:t>podpora</w:t>
      </w:r>
      <w:r w:rsidR="006D170B" w:rsidRPr="00D40FC0">
        <w:rPr>
          <w:lang w:val="sl-SI"/>
        </w:rPr>
        <w:t>''</w:t>
      </w:r>
      <w:r w:rsidR="00093F2B" w:rsidRPr="00D40FC0">
        <w:rPr>
          <w:lang w:val="sl-SI"/>
        </w:rPr>
        <w:t xml:space="preserve">, izraz </w:t>
      </w:r>
      <w:r w:rsidR="006D170B" w:rsidRPr="00D40FC0">
        <w:rPr>
          <w:lang w:val="sl-SI"/>
        </w:rPr>
        <w:t>''</w:t>
      </w:r>
      <w:r w:rsidR="00093F2B" w:rsidRPr="00D40FC0">
        <w:rPr>
          <w:lang w:val="sl-SI"/>
        </w:rPr>
        <w:t>tretje osebe</w:t>
      </w:r>
      <w:r w:rsidR="006D170B" w:rsidRPr="00D40FC0">
        <w:rPr>
          <w:lang w:val="sl-SI"/>
        </w:rPr>
        <w:t>''</w:t>
      </w:r>
      <w:r w:rsidR="00093F2B" w:rsidRPr="00D40FC0">
        <w:rPr>
          <w:lang w:val="sl-SI"/>
        </w:rPr>
        <w:t xml:space="preserve"> pa v pomenu </w:t>
      </w:r>
      <w:r w:rsidR="006D170B" w:rsidRPr="00D40FC0">
        <w:rPr>
          <w:lang w:val="sl-SI"/>
        </w:rPr>
        <w:t>''</w:t>
      </w:r>
      <w:r w:rsidR="00093F2B" w:rsidRPr="00D40FC0">
        <w:rPr>
          <w:lang w:val="sl-SI"/>
        </w:rPr>
        <w:t>udeleženci</w:t>
      </w:r>
      <w:r w:rsidR="006D170B" w:rsidRPr="00D40FC0">
        <w:rPr>
          <w:lang w:val="sl-SI"/>
        </w:rPr>
        <w:t>''</w:t>
      </w:r>
      <w:r w:rsidR="00093F2B" w:rsidRPr="00D40FC0">
        <w:rPr>
          <w:lang w:val="sl-SI"/>
        </w:rPr>
        <w:t>.</w:t>
      </w:r>
    </w:p>
    <w:p w14:paraId="23452644" w14:textId="77777777" w:rsidR="006A7B77" w:rsidRPr="00D40FC0" w:rsidRDefault="006A7B77">
      <w:pPr>
        <w:jc w:val="both"/>
        <w:rPr>
          <w:lang w:val="sl-SI"/>
        </w:rPr>
      </w:pPr>
    </w:p>
    <w:p w14:paraId="2ED9C7C2" w14:textId="77777777" w:rsidR="006A7B77" w:rsidRPr="00D40FC0" w:rsidRDefault="00093F2B">
      <w:pPr>
        <w:jc w:val="both"/>
        <w:rPr>
          <w:lang w:val="sl-SI"/>
        </w:rPr>
      </w:pPr>
      <w:r w:rsidRPr="00D40FC0">
        <w:rPr>
          <w:lang w:val="sl-SI"/>
        </w:rPr>
        <w:t xml:space="preserve">2. Za namene tega sporazuma se naslednje določbe splošnih pogojev iz Priloge I ne uporabljajo: Člen II.2.f (ii), člen II.12.2, člen II.13.4, člen II.17.2.2 (h), člen II.18.3, člen II.19.2, člen II.19.3, člen II.20.3, člen II.21, točka c) šestega pododstavka člena II.25.3 in člen II.27.7. </w:t>
      </w:r>
    </w:p>
    <w:p w14:paraId="73D13B22" w14:textId="77777777" w:rsidR="006A7B77" w:rsidRPr="00D40FC0" w:rsidRDefault="006A7B77">
      <w:pPr>
        <w:jc w:val="both"/>
        <w:rPr>
          <w:lang w:val="sl-SI"/>
        </w:rPr>
      </w:pPr>
    </w:p>
    <w:p w14:paraId="3CD68981" w14:textId="77777777" w:rsidR="006A7B77" w:rsidRPr="00D40FC0" w:rsidRDefault="00093F2B">
      <w:pPr>
        <w:jc w:val="both"/>
        <w:rPr>
          <w:lang w:val="sl-SI"/>
        </w:rPr>
      </w:pPr>
      <w:r w:rsidRPr="00D40FC0">
        <w:rPr>
          <w:lang w:val="sl-SI"/>
        </w:rPr>
        <w:t>V tem sporazumu se uporabljajo izrazi "</w:t>
      </w:r>
      <w:r w:rsidR="006D170B" w:rsidRPr="00D40FC0">
        <w:rPr>
          <w:i/>
          <w:lang w:val="sl-SI"/>
        </w:rPr>
        <w:t>pridruženi</w:t>
      </w:r>
      <w:r w:rsidRPr="00D40FC0">
        <w:rPr>
          <w:i/>
          <w:lang w:val="sl-SI"/>
        </w:rPr>
        <w:t xml:space="preserve"> subjekt</w:t>
      </w:r>
      <w:r w:rsidR="006D170B" w:rsidRPr="00D40FC0">
        <w:rPr>
          <w:i/>
          <w:lang w:val="sl-SI"/>
        </w:rPr>
        <w:t>i</w:t>
      </w:r>
      <w:r w:rsidRPr="00D40FC0">
        <w:rPr>
          <w:lang w:val="sl-SI"/>
        </w:rPr>
        <w:t>","</w:t>
      </w:r>
      <w:r w:rsidRPr="00D40FC0">
        <w:rPr>
          <w:i/>
          <w:lang w:val="sl-SI"/>
        </w:rPr>
        <w:t>vmesno plačilo</w:t>
      </w:r>
      <w:r w:rsidRPr="00D40FC0">
        <w:rPr>
          <w:lang w:val="sl-SI"/>
        </w:rPr>
        <w:t>","</w:t>
      </w:r>
      <w:r w:rsidRPr="00D40FC0">
        <w:rPr>
          <w:i/>
          <w:lang w:val="sl-SI"/>
        </w:rPr>
        <w:t>pavšalni znesek</w:t>
      </w:r>
      <w:r w:rsidRPr="00D40FC0">
        <w:rPr>
          <w:lang w:val="sl-SI"/>
        </w:rPr>
        <w:t xml:space="preserve">", </w:t>
      </w:r>
      <w:r w:rsidRPr="00D40FC0">
        <w:rPr>
          <w:i/>
          <w:lang w:val="sl-SI"/>
        </w:rPr>
        <w:t>"pavšalno"</w:t>
      </w:r>
      <w:r w:rsidR="006D170B" w:rsidRPr="00D40FC0">
        <w:rPr>
          <w:lang w:val="sl-SI"/>
        </w:rPr>
        <w:t>, ki</w:t>
      </w:r>
      <w:r w:rsidRPr="00D40FC0">
        <w:rPr>
          <w:lang w:val="sl-SI"/>
        </w:rPr>
        <w:t xml:space="preserve"> ne veljajo, če so naveden</w:t>
      </w:r>
      <w:r w:rsidR="006D170B" w:rsidRPr="00D40FC0">
        <w:rPr>
          <w:lang w:val="sl-SI"/>
        </w:rPr>
        <w:t>i</w:t>
      </w:r>
      <w:r w:rsidRPr="00D40FC0">
        <w:rPr>
          <w:lang w:val="sl-SI"/>
        </w:rPr>
        <w:t xml:space="preserve"> v splošnih pogojih.</w:t>
      </w:r>
    </w:p>
    <w:p w14:paraId="0D65E0F9" w14:textId="77777777" w:rsidR="006A7B77" w:rsidRPr="00D40FC0" w:rsidRDefault="006A7B77">
      <w:pPr>
        <w:jc w:val="both"/>
        <w:rPr>
          <w:lang w:val="sl-SI"/>
        </w:rPr>
      </w:pPr>
    </w:p>
    <w:p w14:paraId="18747266" w14:textId="77777777" w:rsidR="006A7B77" w:rsidRPr="00D40FC0" w:rsidRDefault="00093F2B">
      <w:pPr>
        <w:spacing w:after="240"/>
        <w:jc w:val="both"/>
        <w:rPr>
          <w:lang w:val="sl-SI"/>
        </w:rPr>
      </w:pPr>
      <w:r w:rsidRPr="00D40FC0">
        <w:rPr>
          <w:lang w:val="sl-SI"/>
        </w:rPr>
        <w:t xml:space="preserve"> 3. Člen II</w:t>
      </w:r>
      <w:r w:rsidR="006D170B" w:rsidRPr="00D40FC0">
        <w:rPr>
          <w:lang w:val="sl-SI"/>
        </w:rPr>
        <w:t>.</w:t>
      </w:r>
      <w:r w:rsidRPr="00D40FC0">
        <w:rPr>
          <w:lang w:val="sl-SI"/>
        </w:rPr>
        <w:t xml:space="preserve">7.1 se glasi: </w:t>
      </w:r>
      <w:bookmarkStart w:id="2" w:name="_Toc442971421"/>
      <w:bookmarkStart w:id="3" w:name="_Toc441250831"/>
    </w:p>
    <w:p w14:paraId="46556089" w14:textId="77777777" w:rsidR="006A7B77" w:rsidRPr="00D40FC0" w:rsidRDefault="00093F2B">
      <w:pPr>
        <w:spacing w:after="240"/>
        <w:ind w:left="720"/>
        <w:jc w:val="both"/>
        <w:rPr>
          <w:b/>
          <w:lang w:val="sl-SI"/>
        </w:rPr>
      </w:pPr>
      <w:r w:rsidRPr="00D40FC0">
        <w:rPr>
          <w:lang w:val="sl-SI"/>
        </w:rPr>
        <w:t>"</w:t>
      </w:r>
      <w:r w:rsidRPr="00D40FC0">
        <w:rPr>
          <w:b/>
          <w:lang w:val="sl-SI"/>
        </w:rPr>
        <w:t>II.7.1 Obdelava osebnih podatkov s strani NA in Komisije</w:t>
      </w:r>
      <w:bookmarkEnd w:id="2"/>
      <w:bookmarkEnd w:id="3"/>
    </w:p>
    <w:p w14:paraId="54654B6C" w14:textId="77777777" w:rsidR="006A7B77" w:rsidRPr="00D40FC0" w:rsidRDefault="00093F2B">
      <w:pPr>
        <w:ind w:left="720"/>
        <w:jc w:val="both"/>
        <w:rPr>
          <w:lang w:val="sl-SI"/>
        </w:rPr>
      </w:pPr>
      <w:r w:rsidRPr="00D40FC0">
        <w:rPr>
          <w:lang w:val="sl-SI"/>
        </w:rPr>
        <w:t xml:space="preserve">Vse osebne podatke, shranjene v orodjih IT, ki jih je zagotovila Evropska komisija, mora NA obdelati v skladu z Uredbo (ES) št. 2018/1725. Če </w:t>
      </w:r>
      <w:r w:rsidR="007873F0" w:rsidRPr="00D40FC0">
        <w:rPr>
          <w:lang w:val="sl-SI"/>
        </w:rPr>
        <w:t>se uporabljajo</w:t>
      </w:r>
      <w:r w:rsidRPr="00D40FC0">
        <w:rPr>
          <w:lang w:val="sl-SI"/>
        </w:rPr>
        <w:t>, mora vse osebne podatke, vključene v okvirni sporazum in posebni sporazum, obravnavati tudi v skladu z določbami nacionalne zakonodaje.</w:t>
      </w:r>
    </w:p>
    <w:p w14:paraId="4D0B5E67" w14:textId="77777777" w:rsidR="006A7B77" w:rsidRPr="00D40FC0" w:rsidRDefault="006A7B77">
      <w:pPr>
        <w:ind w:left="720"/>
        <w:jc w:val="both"/>
        <w:rPr>
          <w:lang w:val="sl-SI"/>
        </w:rPr>
      </w:pPr>
    </w:p>
    <w:p w14:paraId="48316C09" w14:textId="77777777" w:rsidR="006A7B77" w:rsidRDefault="00093F2B">
      <w:pPr>
        <w:ind w:left="720"/>
        <w:jc w:val="both"/>
        <w:rPr>
          <w:lang w:val="sl-SI"/>
        </w:rPr>
      </w:pPr>
      <w:r w:rsidRPr="00D40FC0">
        <w:rPr>
          <w:lang w:val="sl-SI"/>
        </w:rPr>
        <w:t>Take podatke mora obdelovati upravljavec podatkov, določen v členu I.3.1, in sicer izključno za namene izvajanja, upravljanja in spremljanja Sporazuma ali zaščite finančnih interesov EU, vključno s preverjanji, revizijami in preiskavami v skladu s členom II.27, brez poseganja v morebitno posredovanje teh podatkov organom, pristojnim za spremljanje ali inšpekcije pri uporabi nacionalnega prava, ki se uporablja za ta sporazum.</w:t>
      </w:r>
    </w:p>
    <w:p w14:paraId="2B0A6E36" w14:textId="77777777" w:rsidR="00653CA8" w:rsidRPr="00D40FC0" w:rsidRDefault="00653CA8">
      <w:pPr>
        <w:ind w:left="720"/>
        <w:jc w:val="both"/>
        <w:rPr>
          <w:lang w:val="sl-SI"/>
        </w:rPr>
      </w:pPr>
    </w:p>
    <w:p w14:paraId="4A32D865" w14:textId="77777777" w:rsidR="006A7B77" w:rsidRPr="00D40FC0" w:rsidRDefault="007873F0">
      <w:pPr>
        <w:ind w:left="720"/>
        <w:jc w:val="both"/>
        <w:rPr>
          <w:lang w:val="sl-SI"/>
        </w:rPr>
      </w:pPr>
      <w:r w:rsidRPr="00D40FC0">
        <w:rPr>
          <w:lang w:val="sl-SI"/>
        </w:rPr>
        <w:t>Partner</w:t>
      </w:r>
      <w:r w:rsidR="00093F2B" w:rsidRPr="00D40FC0">
        <w:rPr>
          <w:lang w:val="sl-SI"/>
        </w:rPr>
        <w:t xml:space="preserve"> ima pravico do dostopa do svojih osebnih podatkov in do njihovega popravljanja. V ta namen mora kakršna koli vprašanja glede obdelave svojih osebnih podatkov poslati upravljavcu podatkov, določenem v členu I.3.1.</w:t>
      </w:r>
    </w:p>
    <w:p w14:paraId="1BA47F2C" w14:textId="77777777" w:rsidR="006A7B77" w:rsidRPr="00D40FC0" w:rsidRDefault="006A7B77">
      <w:pPr>
        <w:ind w:left="720"/>
        <w:jc w:val="both"/>
        <w:rPr>
          <w:lang w:val="sl-SI"/>
        </w:rPr>
      </w:pPr>
    </w:p>
    <w:p w14:paraId="10AF84B8" w14:textId="77777777" w:rsidR="006A7B77" w:rsidRPr="00D40FC0" w:rsidRDefault="007873F0">
      <w:pPr>
        <w:ind w:left="720"/>
        <w:jc w:val="both"/>
        <w:rPr>
          <w:lang w:val="sl-SI"/>
        </w:rPr>
      </w:pPr>
      <w:r w:rsidRPr="00D40FC0">
        <w:rPr>
          <w:lang w:val="sl-SI"/>
        </w:rPr>
        <w:t>Partner</w:t>
      </w:r>
      <w:r w:rsidR="00093F2B" w:rsidRPr="00D40FC0">
        <w:rPr>
          <w:lang w:val="sl-SI"/>
        </w:rPr>
        <w:t xml:space="preserve"> </w:t>
      </w:r>
      <w:r w:rsidR="00093F2B" w:rsidRPr="00D40FC0">
        <w:rPr>
          <w:color w:val="000000"/>
          <w:lang w:val="sl-SI"/>
        </w:rPr>
        <w:t>lahko kadar</w:t>
      </w:r>
      <w:r w:rsidR="0039016B" w:rsidRPr="00D40FC0">
        <w:rPr>
          <w:color w:val="000000"/>
          <w:lang w:val="sl-SI"/>
        </w:rPr>
        <w:t xml:space="preserve"> </w:t>
      </w:r>
      <w:r w:rsidR="00093F2B" w:rsidRPr="00D40FC0">
        <w:rPr>
          <w:color w:val="000000"/>
          <w:lang w:val="sl-SI"/>
        </w:rPr>
        <w:t>koli uporabi</w:t>
      </w:r>
      <w:r w:rsidRPr="00D40FC0">
        <w:rPr>
          <w:color w:val="000000"/>
          <w:lang w:val="sl-SI"/>
        </w:rPr>
        <w:t xml:space="preserve"> pomoč</w:t>
      </w:r>
      <w:r w:rsidR="00093F2B" w:rsidRPr="00D40FC0">
        <w:rPr>
          <w:color w:val="000000"/>
          <w:lang w:val="sl-SI"/>
        </w:rPr>
        <w:t xml:space="preserve"> </w:t>
      </w:r>
      <w:r w:rsidR="00093F2B" w:rsidRPr="00D40FC0">
        <w:rPr>
          <w:lang w:val="sl-SI"/>
        </w:rPr>
        <w:t xml:space="preserve">Evropskega </w:t>
      </w:r>
      <w:r w:rsidR="00653CA8">
        <w:rPr>
          <w:lang w:val="sl-SI"/>
        </w:rPr>
        <w:t>nadzornika za varstvo podatkov.</w:t>
      </w:r>
      <w:r w:rsidR="00093F2B" w:rsidRPr="00D40FC0">
        <w:rPr>
          <w:lang w:val="sl-SI"/>
        </w:rPr>
        <w:t>"</w:t>
      </w:r>
    </w:p>
    <w:p w14:paraId="38833021" w14:textId="77777777" w:rsidR="006A7B77" w:rsidRPr="00D40FC0" w:rsidRDefault="006A7B77">
      <w:pPr>
        <w:ind w:left="720"/>
        <w:jc w:val="both"/>
        <w:rPr>
          <w:lang w:val="sl-SI"/>
        </w:rPr>
      </w:pPr>
    </w:p>
    <w:p w14:paraId="1BDA3F0D" w14:textId="77777777" w:rsidR="006A7B77" w:rsidRPr="00D40FC0" w:rsidRDefault="00093F2B">
      <w:pPr>
        <w:spacing w:after="240"/>
        <w:jc w:val="both"/>
        <w:rPr>
          <w:lang w:val="sl-SI"/>
        </w:rPr>
      </w:pPr>
      <w:r w:rsidRPr="00D40FC0">
        <w:rPr>
          <w:lang w:val="sl-SI"/>
        </w:rPr>
        <w:t>4. V členu II.9.3 se naslov in točka (a) prvega odstavka glasita:</w:t>
      </w:r>
    </w:p>
    <w:p w14:paraId="1EB1A021" w14:textId="77777777" w:rsidR="006A7B77" w:rsidRPr="00D40FC0" w:rsidRDefault="00093F2B">
      <w:pPr>
        <w:spacing w:after="240"/>
        <w:ind w:left="720"/>
        <w:jc w:val="both"/>
        <w:rPr>
          <w:b/>
          <w:lang w:val="sl-SI"/>
        </w:rPr>
      </w:pPr>
      <w:bookmarkStart w:id="4" w:name="_Toc442971429"/>
      <w:bookmarkStart w:id="5" w:name="_Toc441250839"/>
      <w:r w:rsidRPr="00D40FC0">
        <w:rPr>
          <w:b/>
          <w:lang w:val="sl-SI"/>
        </w:rPr>
        <w:t>"II.9.3 Pravice uporabe rezultatov in predhodno obstoječ</w:t>
      </w:r>
      <w:r w:rsidR="00653CA8">
        <w:rPr>
          <w:b/>
          <w:lang w:val="sl-SI"/>
        </w:rPr>
        <w:t>ih</w:t>
      </w:r>
      <w:r w:rsidRPr="00D40FC0">
        <w:rPr>
          <w:b/>
          <w:lang w:val="sl-SI"/>
        </w:rPr>
        <w:t xml:space="preserve"> pravic s strani NA in Unije</w:t>
      </w:r>
      <w:bookmarkEnd w:id="4"/>
      <w:bookmarkEnd w:id="5"/>
    </w:p>
    <w:p w14:paraId="1F58D3A1" w14:textId="77777777" w:rsidR="006A7B77" w:rsidRPr="00D40FC0" w:rsidRDefault="00093F2B">
      <w:pPr>
        <w:spacing w:after="240"/>
        <w:ind w:left="720"/>
        <w:jc w:val="both"/>
        <w:rPr>
          <w:i/>
          <w:lang w:val="sl-SI"/>
        </w:rPr>
      </w:pPr>
      <w:r w:rsidRPr="00D40FC0">
        <w:rPr>
          <w:lang w:val="sl-SI"/>
        </w:rPr>
        <w:t>Partner NA in Uniji podeli naslednje pravice uporabe rezultatov projekta:</w:t>
      </w:r>
    </w:p>
    <w:p w14:paraId="2DBB7F76" w14:textId="77777777" w:rsidR="006A7B77" w:rsidRPr="00D40FC0" w:rsidRDefault="00093F2B">
      <w:pPr>
        <w:numPr>
          <w:ilvl w:val="0"/>
          <w:numId w:val="67"/>
        </w:numPr>
        <w:spacing w:before="100" w:beforeAutospacing="1" w:after="100" w:afterAutospacing="1"/>
        <w:ind w:left="1134"/>
        <w:jc w:val="both"/>
        <w:rPr>
          <w:lang w:val="sl-SI"/>
        </w:rPr>
      </w:pPr>
      <w:r w:rsidRPr="00D40FC0">
        <w:rPr>
          <w:lang w:val="sl-SI"/>
        </w:rPr>
        <w:lastRenderedPageBreak/>
        <w:t>za lastne namene in zlasti dajanje na razpolago osebam, ki delajo za NA, drugim institucijam, agencijam in organom Unije ter institucijam držav članic ter za kopiranje in r</w:t>
      </w:r>
      <w:r w:rsidR="00822141">
        <w:rPr>
          <w:lang w:val="sl-SI"/>
        </w:rPr>
        <w:t>azmnoževanje</w:t>
      </w:r>
      <w:r w:rsidRPr="00D40FC0">
        <w:rPr>
          <w:lang w:val="sl-SI"/>
        </w:rPr>
        <w:t xml:space="preserve"> celote ali</w:t>
      </w:r>
      <w:r w:rsidR="0039016B" w:rsidRPr="00D40FC0">
        <w:rPr>
          <w:lang w:val="sl-SI"/>
        </w:rPr>
        <w:t xml:space="preserve"> posameznih</w:t>
      </w:r>
      <w:r w:rsidRPr="00D40FC0">
        <w:rPr>
          <w:lang w:val="sl-SI"/>
        </w:rPr>
        <w:t xml:space="preserve"> delov v neomejenem številu izvodov."</w:t>
      </w:r>
    </w:p>
    <w:p w14:paraId="0D159FA5" w14:textId="77777777" w:rsidR="006A7B77" w:rsidRPr="00D40FC0" w:rsidRDefault="006A7B77">
      <w:pPr>
        <w:ind w:left="720"/>
        <w:jc w:val="both"/>
        <w:rPr>
          <w:lang w:val="sl-SI"/>
        </w:rPr>
      </w:pPr>
    </w:p>
    <w:p w14:paraId="119A4540" w14:textId="77777777" w:rsidR="006A7B77" w:rsidRPr="00D40FC0" w:rsidRDefault="00093F2B">
      <w:pPr>
        <w:jc w:val="both"/>
        <w:rPr>
          <w:lang w:val="sl-SI"/>
        </w:rPr>
      </w:pPr>
      <w:r w:rsidRPr="00D40FC0">
        <w:rPr>
          <w:lang w:val="sl-SI"/>
        </w:rPr>
        <w:t>V preostal</w:t>
      </w:r>
      <w:r w:rsidR="0039016B" w:rsidRPr="00D40FC0">
        <w:rPr>
          <w:lang w:val="sl-SI"/>
        </w:rPr>
        <w:t>em delu tega člena se sklic na ''Unijo'' razume kot sklic na ''NA in/ali Unijo''</w:t>
      </w:r>
      <w:r w:rsidRPr="00D40FC0">
        <w:rPr>
          <w:lang w:val="sl-SI"/>
        </w:rPr>
        <w:t>.</w:t>
      </w:r>
    </w:p>
    <w:p w14:paraId="665F6697" w14:textId="77777777" w:rsidR="006A7B77" w:rsidRPr="00D40FC0" w:rsidRDefault="006A7B77">
      <w:pPr>
        <w:jc w:val="both"/>
        <w:rPr>
          <w:lang w:val="sl-SI"/>
        </w:rPr>
      </w:pPr>
    </w:p>
    <w:p w14:paraId="74EF8D7D" w14:textId="77777777" w:rsidR="006A7B77" w:rsidRPr="00D40FC0" w:rsidRDefault="00093F2B">
      <w:pPr>
        <w:spacing w:after="240"/>
        <w:jc w:val="both"/>
        <w:rPr>
          <w:lang w:val="sl-SI"/>
        </w:rPr>
      </w:pPr>
      <w:r w:rsidRPr="00D40FC0">
        <w:rPr>
          <w:lang w:val="sl-SI"/>
        </w:rPr>
        <w:t>5. Drugi odstavek člena II.10.1 se glasi:</w:t>
      </w:r>
    </w:p>
    <w:p w14:paraId="2513DE10" w14:textId="121A5729" w:rsidR="006A7B77" w:rsidRPr="00D40FC0" w:rsidRDefault="00093F2B">
      <w:pPr>
        <w:spacing w:after="240"/>
        <w:ind w:left="720"/>
        <w:jc w:val="both"/>
        <w:rPr>
          <w:lang w:val="sl-SI"/>
        </w:rPr>
      </w:pPr>
      <w:r w:rsidRPr="00D40FC0">
        <w:rPr>
          <w:lang w:val="sl-SI"/>
        </w:rPr>
        <w:t xml:space="preserve">"Partner mora zagotoviti, da lahko NA, Komisija, Evropsko računsko sodišče in Evropski urad za boj proti goljufijam (OLAF) </w:t>
      </w:r>
      <w:r w:rsidR="00822141">
        <w:rPr>
          <w:lang w:val="sl-SI"/>
        </w:rPr>
        <w:t xml:space="preserve">izvajajo </w:t>
      </w:r>
      <w:r w:rsidRPr="00D40FC0">
        <w:rPr>
          <w:lang w:val="sl-SI"/>
        </w:rPr>
        <w:t xml:space="preserve">svoje pravice iz člena II.27 tudi </w:t>
      </w:r>
      <w:r w:rsidR="0039016B" w:rsidRPr="00D40FC0">
        <w:rPr>
          <w:lang w:val="sl-SI"/>
        </w:rPr>
        <w:t>za pogodbene partnerje</w:t>
      </w:r>
      <w:r w:rsidRPr="00D40FC0">
        <w:rPr>
          <w:lang w:val="sl-SI"/>
        </w:rPr>
        <w:t>.</w:t>
      </w:r>
      <w:r w:rsidR="0039016B" w:rsidRPr="00D40FC0">
        <w:rPr>
          <w:lang w:val="sl-SI"/>
        </w:rPr>
        <w:t>''</w:t>
      </w:r>
    </w:p>
    <w:p w14:paraId="063AC3CA" w14:textId="77777777" w:rsidR="006A7B77" w:rsidRPr="00D40FC0" w:rsidRDefault="00093F2B">
      <w:pPr>
        <w:spacing w:before="100" w:beforeAutospacing="1" w:after="100" w:afterAutospacing="1"/>
        <w:jc w:val="both"/>
        <w:rPr>
          <w:lang w:val="sl-SI"/>
        </w:rPr>
      </w:pPr>
      <w:r w:rsidRPr="00D40FC0">
        <w:rPr>
          <w:lang w:val="sl-SI"/>
        </w:rPr>
        <w:t>6. Člen II</w:t>
      </w:r>
      <w:r w:rsidR="0039016B" w:rsidRPr="00D40FC0">
        <w:rPr>
          <w:lang w:val="sl-SI"/>
        </w:rPr>
        <w:t>.</w:t>
      </w:r>
      <w:r w:rsidRPr="00D40FC0">
        <w:rPr>
          <w:lang w:val="sl-SI"/>
        </w:rPr>
        <w:t>18 se glasi:</w:t>
      </w:r>
    </w:p>
    <w:p w14:paraId="1775C3CC" w14:textId="771A2757" w:rsidR="006A7B77" w:rsidRPr="00D40FC0" w:rsidRDefault="00093F2B">
      <w:pPr>
        <w:tabs>
          <w:tab w:val="left" w:pos="1701"/>
        </w:tabs>
        <w:spacing w:before="100" w:beforeAutospacing="1" w:after="100" w:afterAutospacing="1"/>
        <w:ind w:left="720"/>
        <w:jc w:val="both"/>
        <w:rPr>
          <w:lang w:val="sl-SI"/>
        </w:rPr>
      </w:pPr>
      <w:r w:rsidRPr="00D40FC0">
        <w:rPr>
          <w:b/>
          <w:lang w:val="sl-SI"/>
        </w:rPr>
        <w:t>II</w:t>
      </w:r>
      <w:r w:rsidR="00961C13" w:rsidRPr="00D40FC0">
        <w:rPr>
          <w:b/>
          <w:lang w:val="sl-SI"/>
        </w:rPr>
        <w:t>.</w:t>
      </w:r>
      <w:r w:rsidRPr="00D40FC0">
        <w:rPr>
          <w:b/>
          <w:lang w:val="sl-SI"/>
        </w:rPr>
        <w:t>18.1</w:t>
      </w:r>
      <w:r w:rsidR="0039016B" w:rsidRPr="00D40FC0">
        <w:rPr>
          <w:b/>
          <w:lang w:val="sl-SI"/>
        </w:rPr>
        <w:t xml:space="preserve"> </w:t>
      </w:r>
      <w:r w:rsidR="0039016B" w:rsidRPr="00D40FC0">
        <w:rPr>
          <w:lang w:val="sl-SI"/>
        </w:rPr>
        <w:t>Sporazum ureja</w:t>
      </w:r>
      <w:r w:rsidRPr="00D40FC0">
        <w:rPr>
          <w:lang w:val="sl-SI"/>
        </w:rPr>
        <w:t xml:space="preserve"> </w:t>
      </w:r>
      <w:r w:rsidR="003A6806" w:rsidRPr="00C079CC">
        <w:rPr>
          <w:lang w:val="sl-SI"/>
        </w:rPr>
        <w:t>slovensko pravo</w:t>
      </w:r>
      <w:r w:rsidR="00961C13" w:rsidRPr="00C079CC">
        <w:rPr>
          <w:lang w:val="sl-SI"/>
        </w:rPr>
        <w:t>.</w:t>
      </w:r>
    </w:p>
    <w:p w14:paraId="1BE5316B" w14:textId="77777777" w:rsidR="0039016B" w:rsidRPr="00D40FC0" w:rsidRDefault="00093F2B">
      <w:pPr>
        <w:spacing w:before="100" w:beforeAutospacing="1" w:after="100" w:afterAutospacing="1"/>
        <w:ind w:left="720"/>
        <w:jc w:val="both"/>
        <w:rPr>
          <w:rStyle w:val="tlid-translation"/>
          <w:lang w:val="sl-SI"/>
        </w:rPr>
      </w:pPr>
      <w:r w:rsidRPr="00D40FC0">
        <w:rPr>
          <w:b/>
          <w:lang w:val="sl-SI"/>
        </w:rPr>
        <w:t>II.18.2</w:t>
      </w:r>
      <w:r w:rsidR="0039016B" w:rsidRPr="00D40FC0">
        <w:rPr>
          <w:b/>
          <w:lang w:val="sl-SI"/>
        </w:rPr>
        <w:t xml:space="preserve"> </w:t>
      </w:r>
      <w:r w:rsidR="0039016B" w:rsidRPr="00D40FC0">
        <w:rPr>
          <w:rStyle w:val="tlid-translation"/>
          <w:lang w:val="sl-SI"/>
        </w:rPr>
        <w:t>Pristojno sodišče, ki je določeno v skladu z veljavno nacionalno zakonodajo, je izključno pristojno za obravnavanje vseh sporov med NA in katerim koli partnerjem v zvezi z razlago, uporabo ali veljavnostjo okvirnega sporazuma ali katerega koli posebnega sporazuma, če takega spora ni mogoče rešiti sporazumno.</w:t>
      </w:r>
    </w:p>
    <w:p w14:paraId="6533BA40" w14:textId="77777777" w:rsidR="006A7B77" w:rsidRPr="00D40FC0" w:rsidRDefault="00093F2B">
      <w:pPr>
        <w:spacing w:after="240"/>
        <w:jc w:val="both"/>
        <w:rPr>
          <w:lang w:val="sl-SI"/>
        </w:rPr>
      </w:pPr>
      <w:r w:rsidRPr="00D40FC0">
        <w:rPr>
          <w:lang w:val="sl-SI"/>
        </w:rPr>
        <w:t>7. Člen II</w:t>
      </w:r>
      <w:r w:rsidR="006D359D" w:rsidRPr="00D40FC0">
        <w:rPr>
          <w:lang w:val="sl-SI"/>
        </w:rPr>
        <w:t>.</w:t>
      </w:r>
      <w:r w:rsidRPr="00D40FC0">
        <w:rPr>
          <w:lang w:val="sl-SI"/>
        </w:rPr>
        <w:t>19.1 se glasi:</w:t>
      </w:r>
    </w:p>
    <w:p w14:paraId="0C7D12E7" w14:textId="77777777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 xml:space="preserve">"Pogoji za upravičenost stroškov so opredeljeni v oddelkih I.1 in II.1 Priloge </w:t>
      </w:r>
      <w:r w:rsidR="00822141">
        <w:rPr>
          <w:lang w:val="sl-SI"/>
        </w:rPr>
        <w:t>III k p</w:t>
      </w:r>
      <w:r w:rsidRPr="00D40FC0">
        <w:rPr>
          <w:lang w:val="sl-SI"/>
        </w:rPr>
        <w:t>osebnemu sporazumu."</w:t>
      </w:r>
    </w:p>
    <w:p w14:paraId="354ADFBE" w14:textId="77777777" w:rsidR="006A7B77" w:rsidRPr="00D40FC0" w:rsidRDefault="00093F2B">
      <w:pPr>
        <w:spacing w:after="240"/>
        <w:jc w:val="both"/>
        <w:rPr>
          <w:lang w:val="sl-SI"/>
        </w:rPr>
      </w:pPr>
      <w:r w:rsidRPr="00D40FC0">
        <w:rPr>
          <w:lang w:val="sl-SI"/>
        </w:rPr>
        <w:t>8. Člen II.20.1 se glasi:</w:t>
      </w:r>
    </w:p>
    <w:p w14:paraId="14763BDE" w14:textId="77777777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>"Pogoji za prijavljanje stroškov in prispevkov so opredeljeni v oddelkih I.2 in II.2 Priloge III k posebnemu sporazumu."</w:t>
      </w:r>
    </w:p>
    <w:p w14:paraId="16E35DD6" w14:textId="77777777" w:rsidR="006A7B77" w:rsidRPr="00D40FC0" w:rsidRDefault="00093F2B">
      <w:pPr>
        <w:spacing w:after="240"/>
        <w:jc w:val="both"/>
        <w:rPr>
          <w:lang w:val="sl-SI"/>
        </w:rPr>
      </w:pPr>
      <w:r w:rsidRPr="00D40FC0">
        <w:rPr>
          <w:lang w:val="sl-SI"/>
        </w:rPr>
        <w:t>9. Člen II.20.2 se glasi:</w:t>
      </w:r>
    </w:p>
    <w:p w14:paraId="2B939856" w14:textId="77777777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>"Pogoji za evidenco in drugo dokumentacijo za podporo prijavljenih stroškov in prispevkov so opredeljeni v oddelkih I.2 in II.2 Priloge III k posebnemu sporazumu."</w:t>
      </w:r>
    </w:p>
    <w:p w14:paraId="5847DA8E" w14:textId="77777777" w:rsidR="006A7B77" w:rsidRPr="00D40FC0" w:rsidRDefault="00093F2B">
      <w:pPr>
        <w:spacing w:after="240"/>
        <w:jc w:val="both"/>
        <w:rPr>
          <w:lang w:val="sl-SI"/>
        </w:rPr>
      </w:pPr>
      <w:r w:rsidRPr="00D40FC0">
        <w:rPr>
          <w:lang w:val="sl-SI"/>
        </w:rPr>
        <w:t>10. Prvi odstavek člena II.22 se glasi:</w:t>
      </w:r>
    </w:p>
    <w:p w14:paraId="57986615" w14:textId="73F72A4F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>"Partnerju je dovoljeno prilagoditi ocenjeni proračun, določen v Prilogi II k posebnemu sporazumu, s prenosi med različnimi proračunskimi kategorijami, če se projekt izvaja, kot je opisano v Prilogi II k posebnemu sporazumu in v Prilogi II k okvirnemu sporazumu. Za tako prilagoditev ni potrebna sprememba sporazuma,</w:t>
      </w:r>
      <w:r w:rsidR="00054FB3" w:rsidRPr="00D40FC0">
        <w:rPr>
          <w:lang w:val="sl-SI"/>
        </w:rPr>
        <w:t xml:space="preserve"> kot je določeno v členu II.13 o</w:t>
      </w:r>
      <w:r w:rsidRPr="00D40FC0">
        <w:rPr>
          <w:lang w:val="sl-SI"/>
        </w:rPr>
        <w:t>kvirnega sporazuma, če so izpolnjeni pogoji iz</w:t>
      </w:r>
      <w:r w:rsidR="00054FB3" w:rsidRPr="00D40FC0">
        <w:rPr>
          <w:lang w:val="sl-SI"/>
        </w:rPr>
        <w:t xml:space="preserve"> člena 3.3 posebnega sporazuma.</w:t>
      </w:r>
      <w:r w:rsidRPr="00D40FC0">
        <w:rPr>
          <w:lang w:val="sl-SI"/>
        </w:rPr>
        <w:t>"</w:t>
      </w:r>
    </w:p>
    <w:p w14:paraId="0C910E12" w14:textId="77777777" w:rsidR="006A7B77" w:rsidRPr="00D40FC0" w:rsidRDefault="00093F2B">
      <w:pPr>
        <w:spacing w:after="240"/>
        <w:jc w:val="both"/>
        <w:rPr>
          <w:lang w:val="sl-SI"/>
        </w:rPr>
      </w:pPr>
      <w:r w:rsidRPr="00D40FC0">
        <w:rPr>
          <w:lang w:val="sl-SI"/>
        </w:rPr>
        <w:t>11. Člen II.23(b) se glasi:</w:t>
      </w:r>
    </w:p>
    <w:p w14:paraId="33D5853B" w14:textId="77777777" w:rsidR="006A7B77" w:rsidRPr="00D40FC0" w:rsidRDefault="00054FB3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lastRenderedPageBreak/>
        <w:t xml:space="preserve">"(b) </w:t>
      </w:r>
      <w:r w:rsidR="00093F2B" w:rsidRPr="00D40FC0">
        <w:rPr>
          <w:lang w:val="sl-SI"/>
        </w:rPr>
        <w:t>takega zahtevka ne vloži niti v nadaljnjih 30 koledarskih dneh po pisnem opominu, ki ga pošlje NA. "</w:t>
      </w:r>
    </w:p>
    <w:p w14:paraId="21650738" w14:textId="77777777" w:rsidR="006A7B77" w:rsidRPr="00D40FC0" w:rsidRDefault="00093F2B">
      <w:pPr>
        <w:spacing w:after="240"/>
        <w:jc w:val="both"/>
        <w:rPr>
          <w:lang w:val="sl-SI"/>
        </w:rPr>
      </w:pPr>
      <w:r w:rsidRPr="00D40FC0">
        <w:rPr>
          <w:lang w:val="sl-SI"/>
        </w:rPr>
        <w:t>12. Prvi odstavek člena II.24.1.3 se glasi:</w:t>
      </w:r>
    </w:p>
    <w:p w14:paraId="3BD2C091" w14:textId="77777777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>"V času trajanja začasne ustavitve plačil upravičenec ni upravičen do vložitve kakršnih koli zahtevkov za plačilo in dokazil iz členov 4.3 in 4.4 posebnega sporazuma".</w:t>
      </w:r>
    </w:p>
    <w:p w14:paraId="1F32509F" w14:textId="77777777" w:rsidR="006A7B77" w:rsidRPr="00D40FC0" w:rsidRDefault="00093F2B">
      <w:pPr>
        <w:spacing w:after="240"/>
        <w:jc w:val="both"/>
        <w:rPr>
          <w:lang w:val="sl-SI"/>
        </w:rPr>
      </w:pPr>
      <w:r w:rsidRPr="00D40FC0">
        <w:rPr>
          <w:lang w:val="sl-SI"/>
        </w:rPr>
        <w:t>13. Člen II.25.1 se glasi:</w:t>
      </w:r>
    </w:p>
    <w:p w14:paraId="684BA459" w14:textId="77777777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>"</w:t>
      </w:r>
      <w:bookmarkStart w:id="6" w:name="_Toc442971463"/>
      <w:r w:rsidRPr="00D40FC0">
        <w:rPr>
          <w:b/>
          <w:lang w:val="sl-SI"/>
        </w:rPr>
        <w:t xml:space="preserve">II.25.1 </w:t>
      </w:r>
      <w:r w:rsidR="00961C13" w:rsidRPr="00D40FC0">
        <w:rPr>
          <w:b/>
          <w:lang w:val="sl-SI"/>
        </w:rPr>
        <w:t>1. korak</w:t>
      </w:r>
      <w:r w:rsidR="00054FB3" w:rsidRPr="00D40FC0">
        <w:rPr>
          <w:b/>
          <w:lang w:val="sl-SI"/>
        </w:rPr>
        <w:t xml:space="preserve"> - u</w:t>
      </w:r>
      <w:r w:rsidRPr="00D40FC0">
        <w:rPr>
          <w:b/>
          <w:lang w:val="sl-SI"/>
        </w:rPr>
        <w:t>poraba stopnje povračila pri upravičenih stroških in dodajanje prispevkov na enoto</w:t>
      </w:r>
      <w:bookmarkEnd w:id="6"/>
    </w:p>
    <w:p w14:paraId="38ECDA33" w14:textId="77777777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>Ta korak se uporablja, kot sledi:</w:t>
      </w:r>
    </w:p>
    <w:p w14:paraId="717BB7A2" w14:textId="77777777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>Če so, kot je določeno v členu 3.2, nepovratna sredstva v obliki povračila upravičenih stroškov, se stopnja povračila, določena v oddelku II</w:t>
      </w:r>
      <w:r w:rsidR="00961C13" w:rsidRPr="00D40FC0">
        <w:rPr>
          <w:lang w:val="sl-SI"/>
        </w:rPr>
        <w:t>.</w:t>
      </w:r>
      <w:r w:rsidRPr="00D40FC0">
        <w:rPr>
          <w:lang w:val="sl-SI"/>
        </w:rPr>
        <w:t xml:space="preserve">2 </w:t>
      </w:r>
      <w:r w:rsidR="00054FB3" w:rsidRPr="00D40FC0">
        <w:rPr>
          <w:lang w:val="sl-SI"/>
        </w:rPr>
        <w:t>Priloge</w:t>
      </w:r>
      <w:r w:rsidRPr="00D40FC0">
        <w:rPr>
          <w:lang w:val="sl-SI"/>
        </w:rPr>
        <w:t xml:space="preserve"> III </w:t>
      </w:r>
      <w:r w:rsidR="00054FB3" w:rsidRPr="00D40FC0">
        <w:rPr>
          <w:lang w:val="sl-SI"/>
        </w:rPr>
        <w:t>posebnega sporazuma</w:t>
      </w:r>
      <w:r w:rsidRPr="00D40FC0">
        <w:rPr>
          <w:lang w:val="sl-SI"/>
        </w:rPr>
        <w:t xml:space="preserve"> </w:t>
      </w:r>
      <w:r w:rsidR="00054FB3" w:rsidRPr="00D40FC0">
        <w:rPr>
          <w:lang w:val="sl-SI"/>
        </w:rPr>
        <w:t>uporablja za</w:t>
      </w:r>
      <w:r w:rsidRPr="00D40FC0">
        <w:rPr>
          <w:lang w:val="sl-SI"/>
        </w:rPr>
        <w:t xml:space="preserve"> </w:t>
      </w:r>
      <w:r w:rsidR="00054FB3" w:rsidRPr="00D40FC0">
        <w:rPr>
          <w:lang w:val="sl-SI"/>
        </w:rPr>
        <w:t>upravičene stroške projekta, ki ga odobri</w:t>
      </w:r>
      <w:r w:rsidRPr="00D40FC0">
        <w:rPr>
          <w:lang w:val="sl-SI"/>
        </w:rPr>
        <w:t xml:space="preserve"> NA </w:t>
      </w:r>
      <w:r w:rsidR="00054FB3" w:rsidRPr="00D40FC0">
        <w:rPr>
          <w:lang w:val="sl-SI"/>
        </w:rPr>
        <w:t>za us</w:t>
      </w:r>
      <w:r w:rsidR="00822141">
        <w:rPr>
          <w:lang w:val="sl-SI"/>
        </w:rPr>
        <w:t>t</w:t>
      </w:r>
      <w:r w:rsidR="00054FB3" w:rsidRPr="00D40FC0">
        <w:rPr>
          <w:lang w:val="sl-SI"/>
        </w:rPr>
        <w:t xml:space="preserve">rezne kategorije stroškov in </w:t>
      </w:r>
      <w:r w:rsidRPr="00D40FC0">
        <w:rPr>
          <w:lang w:val="sl-SI"/>
        </w:rPr>
        <w:t>partner</w:t>
      </w:r>
      <w:r w:rsidR="00054FB3" w:rsidRPr="00D40FC0">
        <w:rPr>
          <w:lang w:val="sl-SI"/>
        </w:rPr>
        <w:t>ja</w:t>
      </w:r>
      <w:r w:rsidRPr="00D40FC0">
        <w:rPr>
          <w:lang w:val="sl-SI"/>
        </w:rPr>
        <w:t>;</w:t>
      </w:r>
    </w:p>
    <w:p w14:paraId="3240AB47" w14:textId="77777777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 xml:space="preserve">Če so, kot je določeno v členu 3.2 posebnega sporazuma, nepovratna sredstva v obliki prispevka na enoto, se prispevek na enoto, določen v Prilogi IV, pomnoži z dejanskim številom enot, ki jih NA odobri za </w:t>
      </w:r>
      <w:r w:rsidR="00054FB3" w:rsidRPr="00D40FC0">
        <w:rPr>
          <w:lang w:val="sl-SI"/>
        </w:rPr>
        <w:t>partnerj</w:t>
      </w:r>
      <w:r w:rsidRPr="00D40FC0">
        <w:rPr>
          <w:lang w:val="sl-SI"/>
        </w:rPr>
        <w:t>a.</w:t>
      </w:r>
    </w:p>
    <w:p w14:paraId="75F78C25" w14:textId="77777777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>Če člen 3.2 posebnega sporazuma določa kombinacijo različnih oblik nepovratnih sredstev, je treba izračunane zneske sešteti."</w:t>
      </w:r>
    </w:p>
    <w:p w14:paraId="34C860FA" w14:textId="77777777" w:rsidR="006A7B77" w:rsidRPr="00D40FC0" w:rsidRDefault="00093F2B">
      <w:pPr>
        <w:spacing w:after="240"/>
        <w:jc w:val="both"/>
        <w:rPr>
          <w:lang w:val="sl-SI"/>
        </w:rPr>
      </w:pPr>
      <w:r w:rsidRPr="00D40FC0">
        <w:rPr>
          <w:lang w:val="sl-SI"/>
        </w:rPr>
        <w:t>14. Drugi odstavek člena II.25.4 se glasi:</w:t>
      </w:r>
    </w:p>
    <w:p w14:paraId="063D2247" w14:textId="77777777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>"Znesek znižanja bo sorazmeren s stopnjo nepravilnega izvajanja projekta ali z resnostjo kršitve, kot je določeno v oddelku IV Priloge III."</w:t>
      </w:r>
    </w:p>
    <w:p w14:paraId="7258ADE5" w14:textId="77777777" w:rsidR="006A7B77" w:rsidRPr="00D40FC0" w:rsidRDefault="00093F2B">
      <w:pPr>
        <w:spacing w:after="240"/>
        <w:jc w:val="both"/>
        <w:rPr>
          <w:lang w:val="sl-SI"/>
        </w:rPr>
      </w:pPr>
      <w:r w:rsidRPr="00D40FC0">
        <w:rPr>
          <w:lang w:val="sl-SI"/>
        </w:rPr>
        <w:t>15. Tretji odstavek člena II.26.2 se glasi:</w:t>
      </w:r>
    </w:p>
    <w:p w14:paraId="4F141B8F" w14:textId="77777777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>"Če plačilo ni izvedeno do datuma, določenega v o</w:t>
      </w:r>
      <w:r w:rsidR="00054FB3" w:rsidRPr="00D40FC0">
        <w:rPr>
          <w:lang w:val="sl-SI"/>
        </w:rPr>
        <w:t>pominu</w:t>
      </w:r>
      <w:r w:rsidRPr="00D40FC0">
        <w:rPr>
          <w:lang w:val="sl-SI"/>
        </w:rPr>
        <w:t xml:space="preserve"> o dolgovanem znesku, bo NA izterjala dolgovani znesek:</w:t>
      </w:r>
    </w:p>
    <w:p w14:paraId="5172100B" w14:textId="77777777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 xml:space="preserve">s pobotom tega zneska, brez predhodnega soglasja </w:t>
      </w:r>
      <w:r w:rsidR="00054FB3" w:rsidRPr="00D40FC0">
        <w:rPr>
          <w:lang w:val="sl-SI"/>
        </w:rPr>
        <w:t>partnerj</w:t>
      </w:r>
      <w:r w:rsidRPr="00D40FC0">
        <w:rPr>
          <w:lang w:val="sl-SI"/>
        </w:rPr>
        <w:t xml:space="preserve">a, s katerimi koli zneski, ki jih </w:t>
      </w:r>
      <w:r w:rsidR="00054FB3" w:rsidRPr="00D40FC0">
        <w:rPr>
          <w:lang w:val="sl-SI"/>
        </w:rPr>
        <w:t>partnerju</w:t>
      </w:r>
      <w:r w:rsidRPr="00D40FC0">
        <w:rPr>
          <w:lang w:val="sl-SI"/>
        </w:rPr>
        <w:t xml:space="preserve"> dolguje NA (v nadaljnjem besedilu: pobot);</w:t>
      </w:r>
    </w:p>
    <w:p w14:paraId="1FDE60B2" w14:textId="77777777" w:rsidR="006A7B77" w:rsidRPr="00D40FC0" w:rsidRDefault="00093F2B">
      <w:pPr>
        <w:ind w:left="709"/>
        <w:jc w:val="both"/>
        <w:rPr>
          <w:lang w:val="sl-SI"/>
        </w:rPr>
      </w:pPr>
      <w:r w:rsidRPr="00D40FC0">
        <w:rPr>
          <w:lang w:val="sl-SI"/>
        </w:rPr>
        <w:t>V izjemnih okoliščinah lahko NA zneske pobota pred datumom zapadlosti, da se zaščitijo finančni interesi Unije.</w:t>
      </w:r>
    </w:p>
    <w:p w14:paraId="31305951" w14:textId="77777777" w:rsidR="006A7B77" w:rsidRPr="00D40FC0" w:rsidRDefault="006A7B77">
      <w:pPr>
        <w:ind w:left="709"/>
        <w:jc w:val="both"/>
        <w:rPr>
          <w:lang w:val="sl-SI"/>
        </w:rPr>
      </w:pPr>
    </w:p>
    <w:p w14:paraId="26DF4B4C" w14:textId="77777777" w:rsidR="006A7B77" w:rsidRPr="00D40FC0" w:rsidRDefault="00093F2B">
      <w:pPr>
        <w:ind w:left="709"/>
        <w:jc w:val="both"/>
        <w:rPr>
          <w:lang w:val="sl-SI"/>
        </w:rPr>
      </w:pPr>
      <w:r w:rsidRPr="00D40FC0">
        <w:rPr>
          <w:lang w:val="sl-SI"/>
        </w:rPr>
        <w:t>Zoper tak pobot se lahko vloži tožba pri pristojnem sodišču, določenem v členu II.18.2;</w:t>
      </w:r>
    </w:p>
    <w:p w14:paraId="5F587867" w14:textId="77777777" w:rsidR="006A7B77" w:rsidRPr="00D40FC0" w:rsidRDefault="00093F2B">
      <w:pPr>
        <w:numPr>
          <w:ilvl w:val="0"/>
          <w:numId w:val="67"/>
        </w:numPr>
        <w:spacing w:before="100" w:beforeAutospacing="1" w:after="100" w:afterAutospacing="1"/>
        <w:ind w:left="1134"/>
        <w:jc w:val="both"/>
        <w:rPr>
          <w:lang w:val="sl-SI"/>
        </w:rPr>
      </w:pPr>
      <w:r w:rsidRPr="00D40FC0">
        <w:rPr>
          <w:lang w:val="sl-SI"/>
        </w:rPr>
        <w:t>z unovčenjem finančnega jamstva, kadar je tako določeno v skladu s členom 4.2 posebnega sporazuma (v nadaljnjem besedilu: unovčenje finančnega jamstva);</w:t>
      </w:r>
    </w:p>
    <w:p w14:paraId="600FE06E" w14:textId="77777777" w:rsidR="006A7B77" w:rsidRPr="00D40FC0" w:rsidRDefault="00093F2B">
      <w:pPr>
        <w:numPr>
          <w:ilvl w:val="0"/>
          <w:numId w:val="67"/>
        </w:numPr>
        <w:spacing w:before="100" w:beforeAutospacing="1" w:after="100" w:afterAutospacing="1"/>
        <w:ind w:left="1134"/>
        <w:jc w:val="both"/>
        <w:rPr>
          <w:lang w:val="sl-SI"/>
        </w:rPr>
      </w:pPr>
      <w:r w:rsidRPr="00D40FC0">
        <w:rPr>
          <w:lang w:val="sl-SI"/>
        </w:rPr>
        <w:t>s sprožitvijo sodnega postopka, kot je določeno v členu II.18.2 ali Posebnih pogojih."</w:t>
      </w:r>
    </w:p>
    <w:p w14:paraId="5C21D412" w14:textId="77777777" w:rsidR="006A7B77" w:rsidRPr="00D40FC0" w:rsidRDefault="00093F2B">
      <w:pPr>
        <w:spacing w:before="240"/>
        <w:jc w:val="both"/>
        <w:rPr>
          <w:lang w:val="sl-SI"/>
        </w:rPr>
      </w:pPr>
      <w:r w:rsidRPr="00D40FC0">
        <w:rPr>
          <w:lang w:val="sl-SI"/>
        </w:rPr>
        <w:t>16. Tretji odstavek člena II.27.2 se glasi:</w:t>
      </w:r>
    </w:p>
    <w:p w14:paraId="18D196E6" w14:textId="6325A8BE" w:rsidR="006A7B77" w:rsidRPr="00D40FC0" w:rsidRDefault="00093F2B">
      <w:pPr>
        <w:spacing w:before="240" w:after="240"/>
        <w:ind w:left="720"/>
        <w:jc w:val="both"/>
        <w:rPr>
          <w:lang w:val="sl-SI"/>
        </w:rPr>
      </w:pPr>
      <w:r w:rsidRPr="00D40FC0">
        <w:rPr>
          <w:lang w:val="sl-SI"/>
        </w:rPr>
        <w:lastRenderedPageBreak/>
        <w:t xml:space="preserve">"Obdobji iz prvega in drugega pododstavka sta daljši, če tako določa nacionalno pravo ali če potekajo revizije, pritožbe, sodni spori ali izterjava zahtevkov v zvezi z nepovratnimi sredstvi, vključno s primeri iz člena II.27.7. V zadnje navedenih primerih mora </w:t>
      </w:r>
      <w:r w:rsidR="00FD090B" w:rsidRPr="00D40FC0">
        <w:rPr>
          <w:lang w:val="sl-SI"/>
        </w:rPr>
        <w:t>partner</w:t>
      </w:r>
      <w:r w:rsidRPr="00D40FC0">
        <w:rPr>
          <w:lang w:val="sl-SI"/>
        </w:rPr>
        <w:t xml:space="preserve"> hraniti dokumente, dokler take revizije, pritožbe, sodni spori ali izterjave zahtevkov niso zaključene."</w:t>
      </w:r>
    </w:p>
    <w:p w14:paraId="3B96BFA9" w14:textId="77777777" w:rsidR="006A7B77" w:rsidRPr="00D40FC0" w:rsidRDefault="00093F2B">
      <w:pPr>
        <w:spacing w:after="240"/>
        <w:jc w:val="both"/>
        <w:rPr>
          <w:lang w:val="sl-SI"/>
        </w:rPr>
      </w:pPr>
      <w:r w:rsidRPr="00D40FC0">
        <w:rPr>
          <w:lang w:val="sl-SI"/>
        </w:rPr>
        <w:t>17. Člen II.27.3 se glasi:</w:t>
      </w:r>
    </w:p>
    <w:p w14:paraId="21438286" w14:textId="1AC13454" w:rsidR="006A7B77" w:rsidRPr="00D40FC0" w:rsidRDefault="00093F2B">
      <w:pPr>
        <w:spacing w:after="240"/>
        <w:ind w:left="709"/>
        <w:jc w:val="both"/>
        <w:rPr>
          <w:lang w:val="sl-SI"/>
        </w:rPr>
      </w:pPr>
      <w:r w:rsidRPr="00D40FC0">
        <w:rPr>
          <w:lang w:val="sl-SI"/>
        </w:rPr>
        <w:t>"</w:t>
      </w:r>
      <w:r w:rsidR="00FD090B" w:rsidRPr="00D40FC0">
        <w:rPr>
          <w:lang w:val="sl-SI"/>
        </w:rPr>
        <w:t>Partner</w:t>
      </w:r>
      <w:r w:rsidRPr="00D40FC0">
        <w:rPr>
          <w:lang w:val="sl-SI"/>
        </w:rPr>
        <w:t xml:space="preserve"> mora zagotoviti vse informacije, vključno z informacijami v elektronski obliki, ki jih zahteva NA ali Komisija ali kateri koli drug zunanji organ, ki ga pooblasti Komisija. </w:t>
      </w:r>
    </w:p>
    <w:p w14:paraId="35F31723" w14:textId="77777777" w:rsidR="006A7B77" w:rsidRPr="00D40FC0" w:rsidRDefault="00093F2B">
      <w:pPr>
        <w:ind w:left="709"/>
        <w:jc w:val="both"/>
        <w:rPr>
          <w:lang w:val="sl-SI"/>
        </w:rPr>
      </w:pPr>
      <w:r w:rsidRPr="00D40FC0">
        <w:rPr>
          <w:lang w:val="sl-SI"/>
        </w:rPr>
        <w:t xml:space="preserve">Če </w:t>
      </w:r>
      <w:r w:rsidR="00FD090B" w:rsidRPr="00D40FC0">
        <w:rPr>
          <w:lang w:val="sl-SI"/>
        </w:rPr>
        <w:t>partner</w:t>
      </w:r>
      <w:r w:rsidRPr="00D40FC0">
        <w:rPr>
          <w:lang w:val="sl-SI"/>
        </w:rPr>
        <w:t xml:space="preserve"> ne izpolni obveznosti iz prvega pododstavka, NA lahko šteje:</w:t>
      </w:r>
    </w:p>
    <w:p w14:paraId="49CB65FE" w14:textId="77777777" w:rsidR="006A7B77" w:rsidRPr="00D40FC0" w:rsidRDefault="00093F2B">
      <w:pPr>
        <w:numPr>
          <w:ilvl w:val="0"/>
          <w:numId w:val="68"/>
        </w:numPr>
        <w:spacing w:before="100" w:beforeAutospacing="1" w:after="100" w:afterAutospacing="1"/>
        <w:ind w:left="1134"/>
        <w:jc w:val="both"/>
        <w:rPr>
          <w:lang w:val="sl-SI"/>
        </w:rPr>
      </w:pPr>
      <w:r w:rsidRPr="00D40FC0">
        <w:rPr>
          <w:lang w:val="sl-SI"/>
        </w:rPr>
        <w:t xml:space="preserve">za neupravičene vse stroške, ki jih </w:t>
      </w:r>
      <w:r w:rsidR="00FD090B" w:rsidRPr="00D40FC0">
        <w:rPr>
          <w:lang w:val="sl-SI"/>
        </w:rPr>
        <w:t>partner</w:t>
      </w:r>
      <w:r w:rsidRPr="00D40FC0">
        <w:rPr>
          <w:lang w:val="sl-SI"/>
        </w:rPr>
        <w:t xml:space="preserve"> ne utemelji s predložitvijo ustreznih informacij;</w:t>
      </w:r>
    </w:p>
    <w:p w14:paraId="1B1497AB" w14:textId="77777777" w:rsidR="006A7B77" w:rsidRPr="00D40FC0" w:rsidRDefault="00093F2B">
      <w:pPr>
        <w:numPr>
          <w:ilvl w:val="0"/>
          <w:numId w:val="68"/>
        </w:numPr>
        <w:spacing w:before="100" w:beforeAutospacing="1" w:after="100" w:afterAutospacing="1"/>
        <w:ind w:left="1134"/>
        <w:jc w:val="both"/>
        <w:rPr>
          <w:lang w:val="sl-SI"/>
        </w:rPr>
      </w:pPr>
      <w:r w:rsidRPr="00D40FC0">
        <w:rPr>
          <w:lang w:val="sl-SI"/>
        </w:rPr>
        <w:t xml:space="preserve">za neustrezne vse prispevke na enoto, v pavšalnem znesku ali po pavšalni stopnji, ki jih </w:t>
      </w:r>
      <w:r w:rsidR="00FD090B" w:rsidRPr="00D40FC0">
        <w:rPr>
          <w:lang w:val="sl-SI"/>
        </w:rPr>
        <w:t>partner</w:t>
      </w:r>
      <w:r w:rsidRPr="00D40FC0">
        <w:rPr>
          <w:lang w:val="sl-SI"/>
        </w:rPr>
        <w:t xml:space="preserve"> ne utemelji s predložitvijo ustreznih informacij."</w:t>
      </w:r>
    </w:p>
    <w:p w14:paraId="000B3F29" w14:textId="77777777" w:rsidR="006A7B77" w:rsidRPr="00D40FC0" w:rsidRDefault="006A7B77">
      <w:pPr>
        <w:jc w:val="both"/>
        <w:rPr>
          <w:rFonts w:eastAsia="Calibri"/>
          <w:b/>
          <w:i/>
          <w:lang w:val="sl-SI"/>
        </w:rPr>
      </w:pPr>
    </w:p>
    <w:p w14:paraId="4A82B8AC" w14:textId="77777777" w:rsidR="006A7B77" w:rsidRPr="00D40FC0" w:rsidRDefault="006A7B77">
      <w:pPr>
        <w:jc w:val="both"/>
        <w:rPr>
          <w:rFonts w:eastAsia="Calibri"/>
          <w:i/>
          <w:lang w:val="sl-SI"/>
        </w:rPr>
      </w:pPr>
    </w:p>
    <w:p w14:paraId="13F381D8" w14:textId="77777777" w:rsidR="006A7B77" w:rsidRPr="00D40FC0" w:rsidRDefault="006A7B77">
      <w:pPr>
        <w:jc w:val="both"/>
        <w:rPr>
          <w:rFonts w:eastAsia="Calibri"/>
          <w:i/>
          <w:lang w:val="sl-SI"/>
        </w:rPr>
      </w:pPr>
    </w:p>
    <w:p w14:paraId="0E287296" w14:textId="77777777" w:rsidR="00C079CC" w:rsidRDefault="00C079CC" w:rsidP="00C079CC">
      <w:pPr>
        <w:jc w:val="both"/>
        <w:rPr>
          <w:highlight w:val="yellow"/>
        </w:rPr>
      </w:pPr>
      <w:r w:rsidRPr="00D34BE2">
        <w:rPr>
          <w:highlight w:val="yellow"/>
        </w:rPr>
        <w:t xml:space="preserve">Skrbnica/Skrbnik sporazuma: </w:t>
      </w:r>
    </w:p>
    <w:p w14:paraId="40C0A215" w14:textId="51A80895" w:rsidR="00C079CC" w:rsidRDefault="00C079CC" w:rsidP="00C079CC">
      <w:pPr>
        <w:jc w:val="both"/>
      </w:pPr>
      <w:r w:rsidRPr="00D34BE2">
        <w:rPr>
          <w:highlight w:val="yellow"/>
        </w:rPr>
        <w:t>Ime in priimek</w:t>
      </w:r>
    </w:p>
    <w:p w14:paraId="6AA02A4D" w14:textId="77777777" w:rsidR="00C079CC" w:rsidRDefault="00C079CC">
      <w:pPr>
        <w:rPr>
          <w:lang w:val="sl-SI"/>
        </w:rPr>
      </w:pPr>
    </w:p>
    <w:p w14:paraId="341FEBD6" w14:textId="27F2F9A5" w:rsidR="00C079CC" w:rsidRDefault="00C079CC" w:rsidP="00C079CC">
      <w:pPr>
        <w:spacing w:after="240"/>
      </w:pPr>
    </w:p>
    <w:p w14:paraId="47A7432A" w14:textId="1787BA72" w:rsidR="00C079CC" w:rsidRDefault="00C079CC" w:rsidP="00C079CC">
      <w:pPr>
        <w:spacing w:after="240"/>
      </w:pPr>
      <w:r w:rsidRPr="00D03A05">
        <w:tab/>
      </w:r>
      <w:r w:rsidRPr="00D03A05">
        <w:br/>
        <w:t xml:space="preserve">Za </w:t>
      </w:r>
      <w:r w:rsidRPr="00D40FC0">
        <w:rPr>
          <w:b/>
          <w:lang w:val="sl-SI"/>
        </w:rPr>
        <w:t xml:space="preserve">partnerja  </w:t>
      </w:r>
      <w:r>
        <w:t xml:space="preserve">                                                      </w:t>
      </w:r>
      <w:r>
        <w:tab/>
      </w:r>
      <w:r>
        <w:tab/>
      </w:r>
      <w:r w:rsidRPr="00D03A05">
        <w:t xml:space="preserve">Za </w:t>
      </w:r>
      <w:r w:rsidRPr="00C079CC">
        <w:rPr>
          <w:b/>
        </w:rPr>
        <w:t xml:space="preserve">NA </w:t>
      </w:r>
    </w:p>
    <w:p w14:paraId="76C8749A" w14:textId="77777777" w:rsidR="00C079CC" w:rsidRPr="00D03A05" w:rsidRDefault="00C079CC" w:rsidP="00C079CC">
      <w:pPr>
        <w:spacing w:after="240"/>
      </w:pPr>
      <w:r w:rsidRPr="00D03A05">
        <w:t>[</w:t>
      </w:r>
      <w:r w:rsidRPr="00D03A05">
        <w:rPr>
          <w:i/>
          <w:shd w:val="clear" w:color="auto" w:fill="C0C0C0"/>
        </w:rPr>
        <w:t>položaj</w:t>
      </w:r>
      <w:r w:rsidRPr="00D03A05">
        <w:rPr>
          <w:shd w:val="clear" w:color="auto" w:fill="C0C0C0"/>
        </w:rPr>
        <w:t>/ime/priimek</w:t>
      </w:r>
      <w:r w:rsidRPr="00D03A05">
        <w:t xml:space="preserve">] </w:t>
      </w:r>
      <w:r>
        <w:t xml:space="preserve">                                              </w:t>
      </w:r>
      <w:r>
        <w:tab/>
      </w:r>
      <w:r>
        <w:tab/>
        <w:t>Uroš Skrinar, direktor</w:t>
      </w:r>
    </w:p>
    <w:p w14:paraId="032E29B1" w14:textId="77777777" w:rsidR="00C079CC" w:rsidRDefault="00C079CC" w:rsidP="00C079CC">
      <w:pPr>
        <w:tabs>
          <w:tab w:val="left" w:pos="5103"/>
        </w:tabs>
        <w:spacing w:before="1200"/>
      </w:pPr>
      <w:r>
        <w:t xml:space="preserve"> </w:t>
      </w:r>
    </w:p>
    <w:p w14:paraId="1D021497" w14:textId="5FF06C78" w:rsidR="00C079CC" w:rsidRDefault="00C079CC" w:rsidP="00C079CC">
      <w:pPr>
        <w:tabs>
          <w:tab w:val="left" w:pos="5103"/>
        </w:tabs>
        <w:spacing w:before="1200"/>
      </w:pPr>
      <w:r w:rsidRPr="00D03A05">
        <w:t>V</w:t>
      </w:r>
      <w:r>
        <w:t>/Na__________________ dne________</w:t>
      </w:r>
      <w:r w:rsidRPr="00D03A05">
        <w:t xml:space="preserve"> </w:t>
      </w:r>
      <w:r>
        <w:t xml:space="preserve">                    </w:t>
      </w:r>
      <w:r>
        <w:tab/>
      </w:r>
      <w:r w:rsidRPr="00D03A05">
        <w:t>V</w:t>
      </w:r>
      <w:r>
        <w:t xml:space="preserve"> Ljubljani, </w:t>
      </w:r>
    </w:p>
    <w:p w14:paraId="7FB9DEF2" w14:textId="77777777" w:rsidR="00C079CC" w:rsidRPr="00D40FC0" w:rsidRDefault="00C079CC">
      <w:pPr>
        <w:tabs>
          <w:tab w:val="left" w:pos="5103"/>
        </w:tabs>
        <w:spacing w:after="240"/>
        <w:rPr>
          <w:lang w:val="sl-SI"/>
        </w:rPr>
      </w:pPr>
    </w:p>
    <w:sectPr w:rsidR="00C079CC" w:rsidRPr="00D40FC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7EC8" w14:textId="77777777" w:rsidR="0031713F" w:rsidRDefault="0031713F">
      <w:r>
        <w:separator/>
      </w:r>
    </w:p>
  </w:endnote>
  <w:endnote w:type="continuationSeparator" w:id="0">
    <w:p w14:paraId="3DCC13E1" w14:textId="77777777" w:rsidR="0031713F" w:rsidRDefault="0031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FDDD" w14:textId="1CD856C8" w:rsidR="00A92FCA" w:rsidRDefault="00A92F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AEA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E6E00" w14:textId="77777777" w:rsidR="0031713F" w:rsidRDefault="0031713F">
      <w:r>
        <w:separator/>
      </w:r>
    </w:p>
  </w:footnote>
  <w:footnote w:type="continuationSeparator" w:id="0">
    <w:p w14:paraId="2BA4EAEF" w14:textId="77777777" w:rsidR="0031713F" w:rsidRDefault="0031713F">
      <w:r>
        <w:continuationSeparator/>
      </w:r>
    </w:p>
  </w:footnote>
  <w:footnote w:id="1">
    <w:p w14:paraId="628CA993" w14:textId="77777777" w:rsidR="00A92FCA" w:rsidRDefault="00A92FCA">
      <w:pPr>
        <w:jc w:val="both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Uredba (EU) št. 2018/1475 Evropskega parlamenta in Sveta z dne 2. oktobra 2018 o določitvi pravnega okvira Evropske solidarnostne enote in o spremembi Uredbe (EU) št. 1288/2013, Uredbe (EU) št. </w:t>
      </w:r>
      <w:r w:rsidRPr="00295D87">
        <w:rPr>
          <w:sz w:val="18"/>
          <w:szCs w:val="18"/>
        </w:rPr>
        <w:t xml:space="preserve">1293/2013 </w:t>
      </w:r>
      <w:r>
        <w:rPr>
          <w:sz w:val="18"/>
          <w:szCs w:val="18"/>
        </w:rPr>
        <w:t>in</w:t>
      </w:r>
      <w:r>
        <w:rPr>
          <w:sz w:val="18"/>
        </w:rPr>
        <w:t xml:space="preserve"> Sklepa št. 1313/2013/EU</w:t>
      </w:r>
    </w:p>
  </w:footnote>
  <w:footnote w:id="2">
    <w:p w14:paraId="49525F58" w14:textId="77777777" w:rsidR="00A92FCA" w:rsidRDefault="00A92FCA">
      <w:pPr>
        <w:pStyle w:val="FootnoteText"/>
        <w:jc w:val="both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r>
        <w:rPr>
          <w:color w:val="000000"/>
          <w:sz w:val="18"/>
        </w:rPr>
        <w:t>Akcijski načrt mora vključevati skupne cilje strank v skladu s cilji, določenimi v preambuli, in vrste aktivnosti, ki jih zajema to okvirno partnerstvo, ki prispevajo k doseganju teh ciljev.</w:t>
      </w:r>
    </w:p>
  </w:footnote>
  <w:footnote w:id="3">
    <w:p w14:paraId="78207EDE" w14:textId="77777777" w:rsidR="00A92FCA" w:rsidRDefault="00A92FCA">
      <w:pPr>
        <w:pStyle w:val="FootnoteText"/>
        <w:jc w:val="both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Uredba (EU) št. 2018/1475 Evropskega parlamenta in Sveta z dne 2. oktobra 2018 o določitvi pravnega okvira Evropske solidarnostne enote in o spremembi Uredbe (EU) št. 1288/2013, Uredbe (EU) št.</w:t>
      </w:r>
      <w:r w:rsidRPr="00BA0558">
        <w:rPr>
          <w:sz w:val="18"/>
          <w:szCs w:val="18"/>
        </w:rPr>
        <w:t xml:space="preserve"> </w:t>
      </w:r>
      <w:r w:rsidRPr="00295D87">
        <w:rPr>
          <w:sz w:val="18"/>
          <w:szCs w:val="18"/>
        </w:rPr>
        <w:t xml:space="preserve">1293/2013 </w:t>
      </w:r>
      <w:r>
        <w:rPr>
          <w:sz w:val="18"/>
          <w:szCs w:val="18"/>
        </w:rPr>
        <w:t>in</w:t>
      </w:r>
      <w:r>
        <w:rPr>
          <w:sz w:val="18"/>
        </w:rPr>
        <w:t xml:space="preserve"> Sklepa št. 1313/2013/EU.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C543" w14:textId="08457D56" w:rsidR="00A92FCA" w:rsidRDefault="00DE2BF2">
    <w:pPr>
      <w:pStyle w:val="Header"/>
      <w:tabs>
        <w:tab w:val="clear" w:pos="4536"/>
        <w:tab w:val="center" w:pos="2552"/>
      </w:tabs>
      <w:rPr>
        <w:sz w:val="18"/>
      </w:rPr>
    </w:pPr>
    <w:r w:rsidRPr="007833B6">
      <w:rPr>
        <w:noProof/>
        <w:sz w:val="16"/>
        <w:lang w:val="sl-SI" w:eastAsia="sl-SI"/>
      </w:rPr>
      <w:drawing>
        <wp:anchor distT="0" distB="0" distL="114300" distR="114300" simplePos="0" relativeHeight="251661312" behindDoc="0" locked="0" layoutInCell="1" allowOverlap="1" wp14:anchorId="7DD2B532" wp14:editId="12EABDAC">
          <wp:simplePos x="0" y="0"/>
          <wp:positionH relativeFrom="margin">
            <wp:posOffset>5166360</wp:posOffset>
          </wp:positionH>
          <wp:positionV relativeFrom="paragraph">
            <wp:posOffset>229235</wp:posOffset>
          </wp:positionV>
          <wp:extent cx="1095510" cy="69843"/>
          <wp:effectExtent l="0" t="0" r="0" b="6985"/>
          <wp:wrapNone/>
          <wp:docPr id="2" name="Picture 2" descr="BARVNI T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VNI TR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6" t="3654"/>
                  <a:stretch>
                    <a:fillRect/>
                  </a:stretch>
                </pic:blipFill>
                <pic:spPr bwMode="auto">
                  <a:xfrm>
                    <a:off x="0" y="0"/>
                    <a:ext cx="1095510" cy="69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3B6"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2C77D3BB" wp14:editId="0E62AFA7">
          <wp:simplePos x="0" y="0"/>
          <wp:positionH relativeFrom="column">
            <wp:posOffset>5181600</wp:posOffset>
          </wp:positionH>
          <wp:positionV relativeFrom="paragraph">
            <wp:posOffset>-213995</wp:posOffset>
          </wp:positionV>
          <wp:extent cx="1082040" cy="398145"/>
          <wp:effectExtent l="0" t="0" r="381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FCA">
      <w:rPr>
        <w:sz w:val="18"/>
      </w:rPr>
      <w:t>Okvirni sporazum o partnerstvu za prostovoljstvo v okviru Evropske solidarnostne enote - posebni in splošni pogoji</w:t>
    </w:r>
  </w:p>
  <w:p w14:paraId="5291A43E" w14:textId="00F313A6" w:rsidR="00A92FCA" w:rsidRDefault="00A92FCA">
    <w:pPr>
      <w:pStyle w:val="Header"/>
      <w:tabs>
        <w:tab w:val="clear" w:pos="4536"/>
        <w:tab w:val="center" w:pos="2552"/>
      </w:tabs>
      <w:rPr>
        <w:b/>
        <w:sz w:val="18"/>
      </w:rPr>
    </w:pPr>
    <w:r>
      <w:rPr>
        <w:sz w:val="18"/>
      </w:rPr>
      <w:br/>
      <w:t xml:space="preserve">Številka sporazuma: </w:t>
    </w:r>
    <w:r w:rsidRPr="00C079CC">
      <w:rPr>
        <w:b/>
        <w:sz w:val="18"/>
        <w:highlight w:val="yellow"/>
      </w:rPr>
      <w:t>[izpolni]</w:t>
    </w:r>
  </w:p>
  <w:p w14:paraId="3856BBCF" w14:textId="77777777" w:rsidR="00A92FCA" w:rsidRDefault="00A92FCA">
    <w:pPr>
      <w:pStyle w:val="Header"/>
      <w:tabs>
        <w:tab w:val="clear" w:pos="4536"/>
        <w:tab w:val="center" w:pos="25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D078" w14:textId="77777777" w:rsidR="00A92FCA" w:rsidRDefault="00A92FCA">
    <w:pPr>
      <w:pStyle w:val="Header"/>
      <w:rPr>
        <w:sz w:val="18"/>
      </w:rPr>
    </w:pPr>
    <w:r>
      <w:rPr>
        <w:sz w:val="18"/>
      </w:rPr>
      <w:t xml:space="preserve">Številka sporazuma: </w:t>
    </w:r>
    <w:r w:rsidRPr="002052DA">
      <w:rPr>
        <w:b/>
        <w:sz w:val="18"/>
      </w:rPr>
      <w:fldChar w:fldCharType="begin"/>
    </w:r>
    <w:r w:rsidRPr="001D7FB9">
      <w:rPr>
        <w:b/>
        <w:sz w:val="18"/>
        <w:lang w:val="it-IT"/>
      </w:rPr>
      <w:instrText xml:space="preserve"> MERGEFIELD NO_REF </w:instrText>
    </w:r>
    <w:r w:rsidRPr="002052DA">
      <w:rPr>
        <w:b/>
        <w:sz w:val="18"/>
      </w:rPr>
      <w:fldChar w:fldCharType="separate"/>
    </w:r>
    <w:r w:rsidRPr="001D7FB9">
      <w:rPr>
        <w:b/>
        <w:noProof/>
        <w:sz w:val="18"/>
        <w:lang w:val="it-IT"/>
      </w:rPr>
      <w:t>«NO_REF»</w:t>
    </w:r>
    <w:r w:rsidRPr="002052DA">
      <w:rPr>
        <w:sz w:val="18"/>
      </w:rPr>
      <w:fldChar w:fldCharType="end"/>
    </w:r>
    <w:r>
      <w:rPr>
        <w:sz w:val="18"/>
      </w:rPr>
      <w:t xml:space="preserve"> Vzorčni okvirni sporazum o partnerstvu za donacije za poslovanje - \ t  </w:t>
    </w:r>
  </w:p>
  <w:p w14:paraId="11E55EB1" w14:textId="77777777" w:rsidR="00A92FCA" w:rsidRDefault="00A92FCA">
    <w:pPr>
      <w:pStyle w:val="Header"/>
    </w:pPr>
    <w:r>
      <w:rPr>
        <w:sz w:val="18"/>
      </w:rPr>
      <w:tab/>
    </w:r>
    <w:r>
      <w:rPr>
        <w:sz w:val="18"/>
      </w:rPr>
      <w:tab/>
      <w:t>pavšalni zneski in / ali stroški na enoto: marec 2015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5662" w14:textId="7B65C2D2" w:rsidR="006B41F8" w:rsidRDefault="00362D9F" w:rsidP="006B41F8">
    <w:pPr>
      <w:pStyle w:val="Header"/>
      <w:tabs>
        <w:tab w:val="clear" w:pos="4536"/>
        <w:tab w:val="center" w:pos="2552"/>
      </w:tabs>
      <w:rPr>
        <w:sz w:val="18"/>
      </w:rPr>
    </w:pPr>
    <w:r w:rsidRPr="007833B6">
      <w:rPr>
        <w:noProof/>
        <w:sz w:val="16"/>
        <w:lang w:val="sl-SI" w:eastAsia="sl-SI"/>
      </w:rPr>
      <w:drawing>
        <wp:anchor distT="0" distB="0" distL="114300" distR="114300" simplePos="0" relativeHeight="251665408" behindDoc="0" locked="0" layoutInCell="1" allowOverlap="1" wp14:anchorId="3075FBD7" wp14:editId="5F55B365">
          <wp:simplePos x="0" y="0"/>
          <wp:positionH relativeFrom="margin">
            <wp:posOffset>5151120</wp:posOffset>
          </wp:positionH>
          <wp:positionV relativeFrom="paragraph">
            <wp:posOffset>201036</wp:posOffset>
          </wp:positionV>
          <wp:extent cx="1135380" cy="80888"/>
          <wp:effectExtent l="0" t="0" r="0" b="0"/>
          <wp:wrapNone/>
          <wp:docPr id="4" name="Picture 4" descr="BARVNI T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VNI TR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6" t="3654"/>
                  <a:stretch>
                    <a:fillRect/>
                  </a:stretch>
                </pic:blipFill>
                <pic:spPr bwMode="auto">
                  <a:xfrm>
                    <a:off x="0" y="0"/>
                    <a:ext cx="1191808" cy="8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3B6">
      <w:rPr>
        <w:noProof/>
        <w:sz w:val="16"/>
        <w:lang w:val="sl-SI" w:eastAsia="sl-SI"/>
      </w:rPr>
      <w:drawing>
        <wp:anchor distT="0" distB="0" distL="114300" distR="114300" simplePos="0" relativeHeight="251663360" behindDoc="0" locked="0" layoutInCell="1" allowOverlap="1" wp14:anchorId="601F981D" wp14:editId="0B1B500C">
          <wp:simplePos x="0" y="0"/>
          <wp:positionH relativeFrom="column">
            <wp:posOffset>5181600</wp:posOffset>
          </wp:positionH>
          <wp:positionV relativeFrom="paragraph">
            <wp:posOffset>-236855</wp:posOffset>
          </wp:positionV>
          <wp:extent cx="1082040" cy="398145"/>
          <wp:effectExtent l="0" t="0" r="381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1F8">
      <w:rPr>
        <w:sz w:val="18"/>
      </w:rPr>
      <w:t>Okvirni sporazum o partnerstvu za prostovoljstvo v okviru Evropske solidarnostne enote - posebni in splošni pogoji</w:t>
    </w:r>
  </w:p>
  <w:p w14:paraId="2783D77A" w14:textId="2693490A" w:rsidR="006B41F8" w:rsidRDefault="006B41F8" w:rsidP="006B41F8">
    <w:pPr>
      <w:pStyle w:val="Header"/>
      <w:tabs>
        <w:tab w:val="clear" w:pos="4536"/>
        <w:tab w:val="center" w:pos="2552"/>
      </w:tabs>
      <w:rPr>
        <w:b/>
        <w:sz w:val="18"/>
      </w:rPr>
    </w:pPr>
    <w:r>
      <w:rPr>
        <w:sz w:val="18"/>
      </w:rPr>
      <w:br/>
      <w:t xml:space="preserve">Številka sporazuma: </w:t>
    </w:r>
    <w:r w:rsidRPr="00C079CC">
      <w:rPr>
        <w:b/>
        <w:sz w:val="18"/>
        <w:highlight w:val="yellow"/>
      </w:rPr>
      <w:t>[izpolni]</w:t>
    </w:r>
  </w:p>
  <w:p w14:paraId="11B6DB31" w14:textId="73533C9D" w:rsidR="00A92FCA" w:rsidRPr="006B41F8" w:rsidRDefault="00A92FCA" w:rsidP="006B4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697"/>
    <w:multiLevelType w:val="hybridMultilevel"/>
    <w:tmpl w:val="D79AB754"/>
    <w:lvl w:ilvl="0" w:tplc="AD80787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2DEC"/>
    <w:multiLevelType w:val="hybridMultilevel"/>
    <w:tmpl w:val="F7FE5AB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7F2"/>
    <w:multiLevelType w:val="hybridMultilevel"/>
    <w:tmpl w:val="8982E52C"/>
    <w:lvl w:ilvl="0" w:tplc="D5A8105A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AC3189B"/>
    <w:multiLevelType w:val="hybridMultilevel"/>
    <w:tmpl w:val="54A46B8E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3585"/>
    <w:multiLevelType w:val="hybridMultilevel"/>
    <w:tmpl w:val="B52E1998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06D0"/>
    <w:multiLevelType w:val="hybridMultilevel"/>
    <w:tmpl w:val="2F66B6AC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6613"/>
    <w:multiLevelType w:val="hybridMultilevel"/>
    <w:tmpl w:val="7FBE105C"/>
    <w:lvl w:ilvl="0" w:tplc="DFC41F18">
      <w:start w:val="1"/>
      <w:numFmt w:val="lowerLetter"/>
      <w:lvlText w:val="(%1)"/>
      <w:lvlJc w:val="left"/>
      <w:pPr>
        <w:ind w:left="129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8" w15:restartNumberingAfterBreak="0">
    <w:nsid w:val="108C0461"/>
    <w:multiLevelType w:val="hybridMultilevel"/>
    <w:tmpl w:val="47C4BC92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9639D"/>
    <w:multiLevelType w:val="hybridMultilevel"/>
    <w:tmpl w:val="6F44FAE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76743"/>
    <w:multiLevelType w:val="hybridMultilevel"/>
    <w:tmpl w:val="6D76A9A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A5B80"/>
    <w:multiLevelType w:val="hybridMultilevel"/>
    <w:tmpl w:val="05DAC0AA"/>
    <w:lvl w:ilvl="0" w:tplc="D5A8105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821726C"/>
    <w:multiLevelType w:val="hybridMultilevel"/>
    <w:tmpl w:val="00D4FF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C230D"/>
    <w:multiLevelType w:val="hybridMultilevel"/>
    <w:tmpl w:val="DA32558A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46066"/>
    <w:multiLevelType w:val="hybridMultilevel"/>
    <w:tmpl w:val="44F00FEA"/>
    <w:lvl w:ilvl="0" w:tplc="980A2F06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A0D07E3"/>
    <w:multiLevelType w:val="hybridMultilevel"/>
    <w:tmpl w:val="7F041AEA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814C2"/>
    <w:multiLevelType w:val="hybridMultilevel"/>
    <w:tmpl w:val="F6B2A1BC"/>
    <w:lvl w:ilvl="0" w:tplc="DFC41F1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317B92"/>
    <w:multiLevelType w:val="hybridMultilevel"/>
    <w:tmpl w:val="D6E809F0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26F46"/>
    <w:multiLevelType w:val="hybridMultilevel"/>
    <w:tmpl w:val="4F18B994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A6E5F"/>
    <w:multiLevelType w:val="hybridMultilevel"/>
    <w:tmpl w:val="24727314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96AC3"/>
    <w:multiLevelType w:val="hybridMultilevel"/>
    <w:tmpl w:val="778226D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0238B"/>
    <w:multiLevelType w:val="hybridMultilevel"/>
    <w:tmpl w:val="6D40B100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31A70C47"/>
    <w:multiLevelType w:val="hybridMultilevel"/>
    <w:tmpl w:val="55344584"/>
    <w:lvl w:ilvl="0" w:tplc="AD80787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D5735"/>
    <w:multiLevelType w:val="hybridMultilevel"/>
    <w:tmpl w:val="89447B1C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3200290"/>
    <w:multiLevelType w:val="hybridMultilevel"/>
    <w:tmpl w:val="E188A1D2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C5DB3"/>
    <w:multiLevelType w:val="hybridMultilevel"/>
    <w:tmpl w:val="D46A7188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71558"/>
    <w:multiLevelType w:val="hybridMultilevel"/>
    <w:tmpl w:val="2E1A0008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E6701"/>
    <w:multiLevelType w:val="hybridMultilevel"/>
    <w:tmpl w:val="9BB2A074"/>
    <w:lvl w:ilvl="0" w:tplc="94F2B4EE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2917EAC"/>
    <w:multiLevelType w:val="hybridMultilevel"/>
    <w:tmpl w:val="AE4C0FB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32608"/>
    <w:multiLevelType w:val="hybridMultilevel"/>
    <w:tmpl w:val="7D06F35A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D5F45"/>
    <w:multiLevelType w:val="hybridMultilevel"/>
    <w:tmpl w:val="495CA708"/>
    <w:lvl w:ilvl="0" w:tplc="5D422416">
      <w:start w:val="1"/>
      <w:numFmt w:val="lowerRoman"/>
      <w:suff w:val="space"/>
      <w:lvlText w:val="(%1)"/>
      <w:lvlJc w:val="left"/>
      <w:pPr>
        <w:ind w:left="1287" w:hanging="360"/>
      </w:pPr>
      <w:rPr>
        <w:rFonts w:hint="default"/>
      </w:rPr>
    </w:lvl>
    <w:lvl w:ilvl="1" w:tplc="6D5AB5CA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47FC0"/>
    <w:multiLevelType w:val="hybridMultilevel"/>
    <w:tmpl w:val="6C02EEC4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84852"/>
    <w:multiLevelType w:val="hybridMultilevel"/>
    <w:tmpl w:val="6C4867D8"/>
    <w:lvl w:ilvl="0" w:tplc="DFC41F18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4A061FC3"/>
    <w:multiLevelType w:val="hybridMultilevel"/>
    <w:tmpl w:val="112C020E"/>
    <w:lvl w:ilvl="0" w:tplc="50C654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87FB5"/>
    <w:multiLevelType w:val="multilevel"/>
    <w:tmpl w:val="4F28013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46D2A56"/>
    <w:multiLevelType w:val="hybridMultilevel"/>
    <w:tmpl w:val="CB20026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C169A"/>
    <w:multiLevelType w:val="hybridMultilevel"/>
    <w:tmpl w:val="9B9E9506"/>
    <w:lvl w:ilvl="0" w:tplc="94F2B4E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7E5DAD"/>
    <w:multiLevelType w:val="hybridMultilevel"/>
    <w:tmpl w:val="8BA02416"/>
    <w:lvl w:ilvl="0" w:tplc="AD80787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232DDB"/>
    <w:multiLevelType w:val="hybridMultilevel"/>
    <w:tmpl w:val="B1DA6D5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F6BE9"/>
    <w:multiLevelType w:val="hybridMultilevel"/>
    <w:tmpl w:val="DFE4B9A8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30AA8"/>
    <w:multiLevelType w:val="hybridMultilevel"/>
    <w:tmpl w:val="1800F71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3562A"/>
    <w:multiLevelType w:val="hybridMultilevel"/>
    <w:tmpl w:val="9DF2D98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B7CB2"/>
    <w:multiLevelType w:val="hybridMultilevel"/>
    <w:tmpl w:val="0B96E3E4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D5783"/>
    <w:multiLevelType w:val="hybridMultilevel"/>
    <w:tmpl w:val="F7E6D012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366C9"/>
    <w:multiLevelType w:val="hybridMultilevel"/>
    <w:tmpl w:val="CBCA883E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D2A578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30C95"/>
    <w:multiLevelType w:val="hybridMultilevel"/>
    <w:tmpl w:val="AC2CB146"/>
    <w:lvl w:ilvl="0" w:tplc="94F2B4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41353C"/>
    <w:multiLevelType w:val="hybridMultilevel"/>
    <w:tmpl w:val="E0EE9508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B6278B"/>
    <w:multiLevelType w:val="hybridMultilevel"/>
    <w:tmpl w:val="76261FDC"/>
    <w:lvl w:ilvl="0" w:tplc="AD80787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B668D4"/>
    <w:multiLevelType w:val="hybridMultilevel"/>
    <w:tmpl w:val="9B3480C8"/>
    <w:lvl w:ilvl="0" w:tplc="D5A8105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103A9"/>
    <w:multiLevelType w:val="hybridMultilevel"/>
    <w:tmpl w:val="3B2082F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C20F49"/>
    <w:multiLevelType w:val="hybridMultilevel"/>
    <w:tmpl w:val="22F091F4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E84609"/>
    <w:multiLevelType w:val="hybridMultilevel"/>
    <w:tmpl w:val="10A276B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161247"/>
    <w:multiLevelType w:val="hybridMultilevel"/>
    <w:tmpl w:val="DB2A81C4"/>
    <w:lvl w:ilvl="0" w:tplc="D5A8105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6529B2"/>
    <w:multiLevelType w:val="hybridMultilevel"/>
    <w:tmpl w:val="79FA102C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22CB8"/>
    <w:multiLevelType w:val="hybridMultilevel"/>
    <w:tmpl w:val="2A4CFB9E"/>
    <w:lvl w:ilvl="0" w:tplc="6498853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F7596A"/>
    <w:multiLevelType w:val="hybridMultilevel"/>
    <w:tmpl w:val="1E54DE16"/>
    <w:lvl w:ilvl="0" w:tplc="B4989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E0E59BA"/>
    <w:multiLevelType w:val="hybridMultilevel"/>
    <w:tmpl w:val="16ECDE22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D2097A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50215A"/>
    <w:multiLevelType w:val="hybridMultilevel"/>
    <w:tmpl w:val="45AA1036"/>
    <w:lvl w:ilvl="0" w:tplc="94F2B4EE">
      <w:start w:val="1"/>
      <w:numFmt w:val="lowerRoman"/>
      <w:lvlText w:val="(%1)"/>
      <w:lvlJc w:val="left"/>
      <w:pPr>
        <w:ind w:left="13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1" w:hanging="360"/>
      </w:pPr>
    </w:lvl>
    <w:lvl w:ilvl="2" w:tplc="0809001B" w:tentative="1">
      <w:start w:val="1"/>
      <w:numFmt w:val="lowerRoman"/>
      <w:lvlText w:val="%3."/>
      <w:lvlJc w:val="right"/>
      <w:pPr>
        <w:ind w:left="2781" w:hanging="180"/>
      </w:pPr>
    </w:lvl>
    <w:lvl w:ilvl="3" w:tplc="0809000F" w:tentative="1">
      <w:start w:val="1"/>
      <w:numFmt w:val="decimal"/>
      <w:lvlText w:val="%4."/>
      <w:lvlJc w:val="left"/>
      <w:pPr>
        <w:ind w:left="3501" w:hanging="360"/>
      </w:pPr>
    </w:lvl>
    <w:lvl w:ilvl="4" w:tplc="08090019" w:tentative="1">
      <w:start w:val="1"/>
      <w:numFmt w:val="lowerLetter"/>
      <w:lvlText w:val="%5."/>
      <w:lvlJc w:val="left"/>
      <w:pPr>
        <w:ind w:left="4221" w:hanging="360"/>
      </w:pPr>
    </w:lvl>
    <w:lvl w:ilvl="5" w:tplc="0809001B" w:tentative="1">
      <w:start w:val="1"/>
      <w:numFmt w:val="lowerRoman"/>
      <w:lvlText w:val="%6."/>
      <w:lvlJc w:val="right"/>
      <w:pPr>
        <w:ind w:left="4941" w:hanging="180"/>
      </w:pPr>
    </w:lvl>
    <w:lvl w:ilvl="6" w:tplc="0809000F" w:tentative="1">
      <w:start w:val="1"/>
      <w:numFmt w:val="decimal"/>
      <w:lvlText w:val="%7."/>
      <w:lvlJc w:val="left"/>
      <w:pPr>
        <w:ind w:left="5661" w:hanging="360"/>
      </w:pPr>
    </w:lvl>
    <w:lvl w:ilvl="7" w:tplc="08090019" w:tentative="1">
      <w:start w:val="1"/>
      <w:numFmt w:val="lowerLetter"/>
      <w:lvlText w:val="%8."/>
      <w:lvlJc w:val="left"/>
      <w:pPr>
        <w:ind w:left="6381" w:hanging="360"/>
      </w:pPr>
    </w:lvl>
    <w:lvl w:ilvl="8" w:tplc="08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61" w15:restartNumberingAfterBreak="0">
    <w:nsid w:val="702D4D09"/>
    <w:multiLevelType w:val="hybridMultilevel"/>
    <w:tmpl w:val="778226D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2F7E66"/>
    <w:multiLevelType w:val="hybridMultilevel"/>
    <w:tmpl w:val="55C4D96C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D72855"/>
    <w:multiLevelType w:val="hybridMultilevel"/>
    <w:tmpl w:val="F8EABE26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C50C62"/>
    <w:multiLevelType w:val="hybridMultilevel"/>
    <w:tmpl w:val="754C68FA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46312"/>
    <w:multiLevelType w:val="hybridMultilevel"/>
    <w:tmpl w:val="F7A29D4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834DDF"/>
    <w:multiLevelType w:val="hybridMultilevel"/>
    <w:tmpl w:val="49CEB54E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F668AB"/>
    <w:multiLevelType w:val="hybridMultilevel"/>
    <w:tmpl w:val="4EC89EDA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9776F"/>
    <w:multiLevelType w:val="hybridMultilevel"/>
    <w:tmpl w:val="5DCAABBA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B0689A"/>
    <w:multiLevelType w:val="hybridMultilevel"/>
    <w:tmpl w:val="EFA673EC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4A4A62A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6"/>
  </w:num>
  <w:num w:numId="3">
    <w:abstractNumId w:val="42"/>
  </w:num>
  <w:num w:numId="4">
    <w:abstractNumId w:val="32"/>
  </w:num>
  <w:num w:numId="5">
    <w:abstractNumId w:val="7"/>
  </w:num>
  <w:num w:numId="6">
    <w:abstractNumId w:val="1"/>
  </w:num>
  <w:num w:numId="7">
    <w:abstractNumId w:val="59"/>
  </w:num>
  <w:num w:numId="8">
    <w:abstractNumId w:val="27"/>
  </w:num>
  <w:num w:numId="9">
    <w:abstractNumId w:val="41"/>
  </w:num>
  <w:num w:numId="10">
    <w:abstractNumId w:val="35"/>
  </w:num>
  <w:num w:numId="11">
    <w:abstractNumId w:val="36"/>
  </w:num>
  <w:num w:numId="12">
    <w:abstractNumId w:val="47"/>
  </w:num>
  <w:num w:numId="13">
    <w:abstractNumId w:val="54"/>
  </w:num>
  <w:num w:numId="14">
    <w:abstractNumId w:val="11"/>
  </w:num>
  <w:num w:numId="15">
    <w:abstractNumId w:val="66"/>
  </w:num>
  <w:num w:numId="16">
    <w:abstractNumId w:val="23"/>
  </w:num>
  <w:num w:numId="17">
    <w:abstractNumId w:val="14"/>
  </w:num>
  <w:num w:numId="18">
    <w:abstractNumId w:val="68"/>
  </w:num>
  <w:num w:numId="19">
    <w:abstractNumId w:val="39"/>
  </w:num>
  <w:num w:numId="20">
    <w:abstractNumId w:val="26"/>
  </w:num>
  <w:num w:numId="21">
    <w:abstractNumId w:val="13"/>
  </w:num>
  <w:num w:numId="22">
    <w:abstractNumId w:val="10"/>
  </w:num>
  <w:num w:numId="23">
    <w:abstractNumId w:val="53"/>
  </w:num>
  <w:num w:numId="24">
    <w:abstractNumId w:val="64"/>
  </w:num>
  <w:num w:numId="25">
    <w:abstractNumId w:val="21"/>
  </w:num>
  <w:num w:numId="26">
    <w:abstractNumId w:val="30"/>
  </w:num>
  <w:num w:numId="27">
    <w:abstractNumId w:val="70"/>
  </w:num>
  <w:num w:numId="28">
    <w:abstractNumId w:val="62"/>
  </w:num>
  <w:num w:numId="29">
    <w:abstractNumId w:val="29"/>
  </w:num>
  <w:num w:numId="30">
    <w:abstractNumId w:val="65"/>
  </w:num>
  <w:num w:numId="31">
    <w:abstractNumId w:val="2"/>
  </w:num>
  <w:num w:numId="32">
    <w:abstractNumId w:val="33"/>
  </w:num>
  <w:num w:numId="33">
    <w:abstractNumId w:val="57"/>
  </w:num>
  <w:num w:numId="34">
    <w:abstractNumId w:val="9"/>
  </w:num>
  <w:num w:numId="35">
    <w:abstractNumId w:val="8"/>
  </w:num>
  <w:num w:numId="36">
    <w:abstractNumId w:val="28"/>
  </w:num>
  <w:num w:numId="37">
    <w:abstractNumId w:val="48"/>
  </w:num>
  <w:num w:numId="38">
    <w:abstractNumId w:val="0"/>
  </w:num>
  <w:num w:numId="39">
    <w:abstractNumId w:val="22"/>
  </w:num>
  <w:num w:numId="40">
    <w:abstractNumId w:val="38"/>
  </w:num>
  <w:num w:numId="41">
    <w:abstractNumId w:val="43"/>
  </w:num>
  <w:num w:numId="42">
    <w:abstractNumId w:val="40"/>
  </w:num>
  <w:num w:numId="43">
    <w:abstractNumId w:val="3"/>
  </w:num>
  <w:num w:numId="44">
    <w:abstractNumId w:val="49"/>
  </w:num>
  <w:num w:numId="45">
    <w:abstractNumId w:val="55"/>
  </w:num>
  <w:num w:numId="46">
    <w:abstractNumId w:val="44"/>
  </w:num>
  <w:num w:numId="47">
    <w:abstractNumId w:val="5"/>
  </w:num>
  <w:num w:numId="48">
    <w:abstractNumId w:val="31"/>
  </w:num>
  <w:num w:numId="49">
    <w:abstractNumId w:val="25"/>
  </w:num>
  <w:num w:numId="50">
    <w:abstractNumId w:val="19"/>
  </w:num>
  <w:num w:numId="51">
    <w:abstractNumId w:val="20"/>
  </w:num>
  <w:num w:numId="52">
    <w:abstractNumId w:val="61"/>
  </w:num>
  <w:num w:numId="53">
    <w:abstractNumId w:val="15"/>
  </w:num>
  <w:num w:numId="54">
    <w:abstractNumId w:val="69"/>
  </w:num>
  <w:num w:numId="55">
    <w:abstractNumId w:val="67"/>
  </w:num>
  <w:num w:numId="56">
    <w:abstractNumId w:val="52"/>
  </w:num>
  <w:num w:numId="57">
    <w:abstractNumId w:val="6"/>
  </w:num>
  <w:num w:numId="58">
    <w:abstractNumId w:val="17"/>
  </w:num>
  <w:num w:numId="59">
    <w:abstractNumId w:val="4"/>
  </w:num>
  <w:num w:numId="60">
    <w:abstractNumId w:val="18"/>
  </w:num>
  <w:num w:numId="61">
    <w:abstractNumId w:val="24"/>
  </w:num>
  <w:num w:numId="62">
    <w:abstractNumId w:val="60"/>
  </w:num>
  <w:num w:numId="63">
    <w:abstractNumId w:val="37"/>
  </w:num>
  <w:num w:numId="64">
    <w:abstractNumId w:val="46"/>
  </w:num>
  <w:num w:numId="65">
    <w:abstractNumId w:val="58"/>
  </w:num>
  <w:num w:numId="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</w:num>
  <w:num w:numId="69">
    <w:abstractNumId w:val="34"/>
  </w:num>
  <w:num w:numId="70">
    <w:abstractNumId w:val="12"/>
  </w:num>
  <w:num w:numId="71">
    <w:abstractNumId w:val="56"/>
  </w:num>
  <w:num w:numId="72">
    <w:abstractNumId w:val="4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F661D"/>
    <w:rsid w:val="00041F26"/>
    <w:rsid w:val="00054FB3"/>
    <w:rsid w:val="0006163D"/>
    <w:rsid w:val="00062F88"/>
    <w:rsid w:val="00064C3F"/>
    <w:rsid w:val="0007208E"/>
    <w:rsid w:val="00073821"/>
    <w:rsid w:val="00086D75"/>
    <w:rsid w:val="00093F2B"/>
    <w:rsid w:val="000B75F7"/>
    <w:rsid w:val="000C2A6C"/>
    <w:rsid w:val="000D07C0"/>
    <w:rsid w:val="000E0635"/>
    <w:rsid w:val="001005F7"/>
    <w:rsid w:val="001031AC"/>
    <w:rsid w:val="001149F1"/>
    <w:rsid w:val="00144EC2"/>
    <w:rsid w:val="00160A16"/>
    <w:rsid w:val="001824CD"/>
    <w:rsid w:val="001A67B2"/>
    <w:rsid w:val="001C5F2F"/>
    <w:rsid w:val="001D7FB9"/>
    <w:rsid w:val="00217D47"/>
    <w:rsid w:val="00237859"/>
    <w:rsid w:val="00261CE5"/>
    <w:rsid w:val="002812CA"/>
    <w:rsid w:val="00287522"/>
    <w:rsid w:val="00295C75"/>
    <w:rsid w:val="00295D87"/>
    <w:rsid w:val="002D53DB"/>
    <w:rsid w:val="002E0E87"/>
    <w:rsid w:val="00302F3A"/>
    <w:rsid w:val="003042C2"/>
    <w:rsid w:val="00310E47"/>
    <w:rsid w:val="00313523"/>
    <w:rsid w:val="00314859"/>
    <w:rsid w:val="0031713F"/>
    <w:rsid w:val="00321FED"/>
    <w:rsid w:val="003308F6"/>
    <w:rsid w:val="00350DFE"/>
    <w:rsid w:val="00362D9F"/>
    <w:rsid w:val="00367DB7"/>
    <w:rsid w:val="0038063B"/>
    <w:rsid w:val="0039016B"/>
    <w:rsid w:val="003965C6"/>
    <w:rsid w:val="003A6806"/>
    <w:rsid w:val="003C526B"/>
    <w:rsid w:val="003C6F42"/>
    <w:rsid w:val="003D06A9"/>
    <w:rsid w:val="003D654A"/>
    <w:rsid w:val="003F6310"/>
    <w:rsid w:val="00422A07"/>
    <w:rsid w:val="00425A67"/>
    <w:rsid w:val="00442104"/>
    <w:rsid w:val="004621E3"/>
    <w:rsid w:val="00466200"/>
    <w:rsid w:val="00476B13"/>
    <w:rsid w:val="00486312"/>
    <w:rsid w:val="004920B8"/>
    <w:rsid w:val="004940CC"/>
    <w:rsid w:val="004B62F8"/>
    <w:rsid w:val="004C0DD7"/>
    <w:rsid w:val="004C51AA"/>
    <w:rsid w:val="004D341D"/>
    <w:rsid w:val="004D63B3"/>
    <w:rsid w:val="004E3644"/>
    <w:rsid w:val="004F1901"/>
    <w:rsid w:val="00512A5C"/>
    <w:rsid w:val="00537780"/>
    <w:rsid w:val="005510DA"/>
    <w:rsid w:val="00563205"/>
    <w:rsid w:val="005C239E"/>
    <w:rsid w:val="005E6817"/>
    <w:rsid w:val="005F7D8A"/>
    <w:rsid w:val="00602B45"/>
    <w:rsid w:val="00633A18"/>
    <w:rsid w:val="00644296"/>
    <w:rsid w:val="00653CA8"/>
    <w:rsid w:val="00654585"/>
    <w:rsid w:val="00654D71"/>
    <w:rsid w:val="006A6567"/>
    <w:rsid w:val="006A6EE7"/>
    <w:rsid w:val="006A7B77"/>
    <w:rsid w:val="006B41F8"/>
    <w:rsid w:val="006B47C7"/>
    <w:rsid w:val="006C60B6"/>
    <w:rsid w:val="006C70F0"/>
    <w:rsid w:val="006D170B"/>
    <w:rsid w:val="006D359D"/>
    <w:rsid w:val="006D7FDE"/>
    <w:rsid w:val="006F35BE"/>
    <w:rsid w:val="00700419"/>
    <w:rsid w:val="007575A9"/>
    <w:rsid w:val="00771578"/>
    <w:rsid w:val="0078103E"/>
    <w:rsid w:val="00787250"/>
    <w:rsid w:val="007873F0"/>
    <w:rsid w:val="007A5379"/>
    <w:rsid w:val="00807FBC"/>
    <w:rsid w:val="00822141"/>
    <w:rsid w:val="00830B40"/>
    <w:rsid w:val="00830C18"/>
    <w:rsid w:val="00844B85"/>
    <w:rsid w:val="00847C64"/>
    <w:rsid w:val="00876D0D"/>
    <w:rsid w:val="00877130"/>
    <w:rsid w:val="00883DF9"/>
    <w:rsid w:val="00887332"/>
    <w:rsid w:val="008D34C5"/>
    <w:rsid w:val="0091250A"/>
    <w:rsid w:val="00942052"/>
    <w:rsid w:val="00954430"/>
    <w:rsid w:val="00961C13"/>
    <w:rsid w:val="0099001F"/>
    <w:rsid w:val="009D11C7"/>
    <w:rsid w:val="009F661D"/>
    <w:rsid w:val="00A127CC"/>
    <w:rsid w:val="00A128A8"/>
    <w:rsid w:val="00A2003E"/>
    <w:rsid w:val="00A56FB2"/>
    <w:rsid w:val="00A8007F"/>
    <w:rsid w:val="00A92FCA"/>
    <w:rsid w:val="00AA1527"/>
    <w:rsid w:val="00AA1D1E"/>
    <w:rsid w:val="00AA7A9A"/>
    <w:rsid w:val="00AE0AEA"/>
    <w:rsid w:val="00AF0BE4"/>
    <w:rsid w:val="00AF4166"/>
    <w:rsid w:val="00B057C7"/>
    <w:rsid w:val="00B10CD8"/>
    <w:rsid w:val="00B20C09"/>
    <w:rsid w:val="00B262A4"/>
    <w:rsid w:val="00B52DF5"/>
    <w:rsid w:val="00BA0558"/>
    <w:rsid w:val="00BC7864"/>
    <w:rsid w:val="00BD34A0"/>
    <w:rsid w:val="00BD475A"/>
    <w:rsid w:val="00BD6CA4"/>
    <w:rsid w:val="00BE5497"/>
    <w:rsid w:val="00C00D1F"/>
    <w:rsid w:val="00C079CC"/>
    <w:rsid w:val="00C131B4"/>
    <w:rsid w:val="00C2461B"/>
    <w:rsid w:val="00CA0933"/>
    <w:rsid w:val="00D04410"/>
    <w:rsid w:val="00D37659"/>
    <w:rsid w:val="00D40FC0"/>
    <w:rsid w:val="00D443FF"/>
    <w:rsid w:val="00D552D4"/>
    <w:rsid w:val="00D6752E"/>
    <w:rsid w:val="00D70805"/>
    <w:rsid w:val="00D765C2"/>
    <w:rsid w:val="00D97E1A"/>
    <w:rsid w:val="00DA1785"/>
    <w:rsid w:val="00DA3E91"/>
    <w:rsid w:val="00DB3D52"/>
    <w:rsid w:val="00DD551C"/>
    <w:rsid w:val="00DD5A26"/>
    <w:rsid w:val="00DE2BF2"/>
    <w:rsid w:val="00DE5098"/>
    <w:rsid w:val="00E01109"/>
    <w:rsid w:val="00E05157"/>
    <w:rsid w:val="00E21271"/>
    <w:rsid w:val="00E21336"/>
    <w:rsid w:val="00E24365"/>
    <w:rsid w:val="00E26400"/>
    <w:rsid w:val="00E77BA4"/>
    <w:rsid w:val="00E80F1C"/>
    <w:rsid w:val="00EA793C"/>
    <w:rsid w:val="00EC4702"/>
    <w:rsid w:val="00EE724D"/>
    <w:rsid w:val="00EF0245"/>
    <w:rsid w:val="00EF1A88"/>
    <w:rsid w:val="00F052A1"/>
    <w:rsid w:val="00F070A9"/>
    <w:rsid w:val="00F40C14"/>
    <w:rsid w:val="00F4438A"/>
    <w:rsid w:val="00F516BC"/>
    <w:rsid w:val="00F85681"/>
    <w:rsid w:val="00FB2CD3"/>
    <w:rsid w:val="00FB4177"/>
    <w:rsid w:val="00FD090B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DCC56A"/>
  <w15:docId w15:val="{4F58997D-F68C-42F0-8BC3-6BAECAAA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F070A9"/>
    <w:pPr>
      <w:keepNext/>
      <w:spacing w:before="240" w:after="60"/>
      <w:jc w:val="center"/>
      <w:outlineLvl w:val="0"/>
    </w:pPr>
    <w:rPr>
      <w:b/>
      <w:bCs/>
      <w:kern w:val="32"/>
      <w:szCs w:val="32"/>
      <w:lang w:val="sl-SI" w:eastAsia="en-US"/>
    </w:rPr>
  </w:style>
  <w:style w:type="paragraph" w:styleId="Heading2">
    <w:name w:val="heading 2"/>
    <w:aliases w:val="GC 2"/>
    <w:basedOn w:val="Normal"/>
    <w:next w:val="Normal"/>
    <w:link w:val="Heading2Char"/>
    <w:unhideWhenUsed/>
    <w:qFormat/>
    <w:rsid w:val="00F070A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aliases w:val="SC 3"/>
    <w:basedOn w:val="Normal"/>
    <w:next w:val="Normal"/>
    <w:link w:val="Heading3Char"/>
    <w:uiPriority w:val="9"/>
    <w:unhideWhenUsed/>
    <w:qFormat/>
    <w:rsid w:val="00476B13"/>
    <w:pPr>
      <w:keepNext/>
      <w:spacing w:before="240" w:after="60" w:line="276" w:lineRule="auto"/>
      <w:outlineLvl w:val="2"/>
    </w:pPr>
    <w:rPr>
      <w:b/>
      <w:bCs/>
      <w:szCs w:val="26"/>
      <w:lang w:val="sl-SI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070A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6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F661D"/>
    <w:rPr>
      <w:sz w:val="24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9F66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F661D"/>
    <w:rPr>
      <w:sz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130"/>
    <w:rPr>
      <w:rFonts w:ascii="Segoe UI" w:hAnsi="Segoe UI" w:cs="Segoe UI"/>
      <w:sz w:val="18"/>
      <w:szCs w:val="18"/>
      <w:lang w:val="nl-BE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nhideWhenUsed/>
    <w:rsid w:val="004D63B3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4D63B3"/>
    <w:rPr>
      <w:lang w:val="nl-BE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1"/>
    <w:unhideWhenUsed/>
    <w:rsid w:val="004D63B3"/>
    <w:rPr>
      <w:vertAlign w:val="superscript"/>
    </w:rPr>
  </w:style>
  <w:style w:type="character" w:styleId="Strong">
    <w:name w:val="Strong"/>
    <w:uiPriority w:val="22"/>
    <w:qFormat/>
    <w:rsid w:val="004D63B3"/>
    <w:rPr>
      <w:b/>
      <w:bCs/>
    </w:rPr>
  </w:style>
  <w:style w:type="paragraph" w:customStyle="1" w:styleId="1">
    <w:name w:val="1"/>
    <w:basedOn w:val="Normal"/>
    <w:link w:val="FootnoteReference"/>
    <w:uiPriority w:val="99"/>
    <w:rsid w:val="00321FED"/>
    <w:pPr>
      <w:spacing w:after="160" w:line="240" w:lineRule="exact"/>
    </w:pPr>
    <w:rPr>
      <w:sz w:val="20"/>
      <w:vertAlign w:val="superscript"/>
      <w:lang w:val="sl-SI"/>
    </w:rPr>
  </w:style>
  <w:style w:type="character" w:styleId="CommentReference">
    <w:name w:val="annotation reference"/>
    <w:uiPriority w:val="99"/>
    <w:unhideWhenUsed/>
    <w:rsid w:val="00321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FE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21FED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FED"/>
    <w:rPr>
      <w:b/>
      <w:bCs/>
      <w:lang w:val="nl-BE"/>
    </w:rPr>
  </w:style>
  <w:style w:type="character" w:customStyle="1" w:styleId="Heading3Char">
    <w:name w:val="Heading 3 Char"/>
    <w:aliases w:val="SC 3 Char"/>
    <w:link w:val="Heading3"/>
    <w:uiPriority w:val="9"/>
    <w:rsid w:val="00476B13"/>
    <w:rPr>
      <w:b/>
      <w:bCs/>
      <w:sz w:val="24"/>
      <w:szCs w:val="26"/>
      <w:lang w:eastAsia="en-US"/>
    </w:rPr>
  </w:style>
  <w:style w:type="paragraph" w:styleId="Title">
    <w:name w:val="Title"/>
    <w:aliases w:val="SC 2"/>
    <w:link w:val="TitleChar"/>
    <w:qFormat/>
    <w:rsid w:val="00476B1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before="240" w:after="240"/>
    </w:pPr>
    <w:rPr>
      <w:rFonts w:ascii="Times New Roman Bold" w:hAnsi="Times New Roman Bold"/>
      <w:b/>
      <w:bCs/>
      <w:smallCaps/>
      <w:snapToGrid w:val="0"/>
      <w:sz w:val="24"/>
      <w:szCs w:val="22"/>
      <w:lang w:val="fr-FR"/>
    </w:rPr>
  </w:style>
  <w:style w:type="character" w:customStyle="1" w:styleId="TitleChar">
    <w:name w:val="Title Char"/>
    <w:aliases w:val="SC 2 Char"/>
    <w:link w:val="Title"/>
    <w:rsid w:val="00476B13"/>
    <w:rPr>
      <w:rFonts w:ascii="Times New Roman Bold" w:hAnsi="Times New Roman Bold"/>
      <w:b/>
      <w:bCs/>
      <w:smallCaps/>
      <w:snapToGrid w:val="0"/>
      <w:sz w:val="24"/>
      <w:szCs w:val="22"/>
      <w:lang w:val="fr-FR"/>
    </w:rPr>
  </w:style>
  <w:style w:type="character" w:customStyle="1" w:styleId="Heading2Char">
    <w:name w:val="Heading 2 Char"/>
    <w:aliases w:val="GC 2 Char"/>
    <w:link w:val="Heading2"/>
    <w:rsid w:val="00F070A9"/>
    <w:rPr>
      <w:rFonts w:ascii="Calibri Light" w:eastAsia="Times New Roman" w:hAnsi="Calibri Light" w:cs="Times New Roman"/>
      <w:b/>
      <w:bCs/>
      <w:i/>
      <w:iCs/>
      <w:sz w:val="28"/>
      <w:szCs w:val="28"/>
      <w:lang w:val="nl-BE"/>
    </w:rPr>
  </w:style>
  <w:style w:type="character" w:customStyle="1" w:styleId="Heading1Char">
    <w:name w:val="Heading 1 Char"/>
    <w:link w:val="Heading1"/>
    <w:rsid w:val="00F070A9"/>
    <w:rPr>
      <w:b/>
      <w:bCs/>
      <w:kern w:val="32"/>
      <w:sz w:val="24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F070A9"/>
    <w:rPr>
      <w:rFonts w:ascii="Calibri" w:hAnsi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070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r-FR" w:eastAsia="en-US"/>
    </w:rPr>
  </w:style>
  <w:style w:type="numbering" w:customStyle="1" w:styleId="NoList1">
    <w:name w:val="No List1"/>
    <w:next w:val="NoList"/>
    <w:uiPriority w:val="99"/>
    <w:semiHidden/>
    <w:unhideWhenUsed/>
    <w:rsid w:val="00F070A9"/>
  </w:style>
  <w:style w:type="paragraph" w:customStyle="1" w:styleId="ListDash">
    <w:name w:val="List Dash"/>
    <w:basedOn w:val="Normal"/>
    <w:rsid w:val="00F070A9"/>
    <w:pPr>
      <w:tabs>
        <w:tab w:val="num" w:pos="360"/>
      </w:tabs>
      <w:spacing w:after="240"/>
      <w:jc w:val="both"/>
    </w:pPr>
    <w:rPr>
      <w:lang w:val="sl-SI" w:eastAsia="en-US"/>
    </w:rPr>
  </w:style>
  <w:style w:type="paragraph" w:customStyle="1" w:styleId="Char1CharCharChar">
    <w:name w:val="Char1 Char Char Char"/>
    <w:basedOn w:val="Normal"/>
    <w:rsid w:val="00F070A9"/>
    <w:pPr>
      <w:spacing w:after="160" w:line="240" w:lineRule="exact"/>
    </w:pPr>
    <w:rPr>
      <w:rFonts w:ascii="Tahoma" w:hAnsi="Tahoma"/>
      <w:sz w:val="20"/>
      <w:lang w:val="sl-SI" w:eastAsia="en-US"/>
    </w:rPr>
  </w:style>
  <w:style w:type="paragraph" w:customStyle="1" w:styleId="CM1">
    <w:name w:val="CM1"/>
    <w:basedOn w:val="Normal"/>
    <w:next w:val="Normal"/>
    <w:uiPriority w:val="99"/>
    <w:rsid w:val="00F070A9"/>
    <w:pPr>
      <w:autoSpaceDE w:val="0"/>
      <w:autoSpaceDN w:val="0"/>
      <w:adjustRightInd w:val="0"/>
    </w:pPr>
    <w:rPr>
      <w:rFonts w:ascii="EUAlbertina" w:eastAsia="Calibri" w:hAnsi="EUAlbertina"/>
      <w:szCs w:val="24"/>
      <w:lang w:val="sl-SI" w:eastAsia="en-US"/>
    </w:rPr>
  </w:style>
  <w:style w:type="paragraph" w:customStyle="1" w:styleId="CM3">
    <w:name w:val="CM3"/>
    <w:basedOn w:val="Normal"/>
    <w:next w:val="Normal"/>
    <w:uiPriority w:val="99"/>
    <w:rsid w:val="00F070A9"/>
    <w:pPr>
      <w:autoSpaceDE w:val="0"/>
      <w:autoSpaceDN w:val="0"/>
      <w:adjustRightInd w:val="0"/>
    </w:pPr>
    <w:rPr>
      <w:rFonts w:ascii="EUAlbertina" w:eastAsia="Calibri" w:hAnsi="EUAlbertina"/>
      <w:szCs w:val="24"/>
      <w:lang w:val="sl-SI" w:eastAsia="en-US"/>
    </w:rPr>
  </w:style>
  <w:style w:type="paragraph" w:customStyle="1" w:styleId="Revision1">
    <w:name w:val="Revision1"/>
    <w:next w:val="Revision"/>
    <w:hidden/>
    <w:uiPriority w:val="99"/>
    <w:semiHidden/>
    <w:rsid w:val="00F070A9"/>
    <w:rPr>
      <w:rFonts w:ascii="Calibri" w:eastAsia="Calibri" w:hAnsi="Calibri"/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F070A9"/>
    <w:rPr>
      <w:rFonts w:ascii="Calibri" w:eastAsia="Calibri" w:hAnsi="Calibri"/>
      <w:sz w:val="22"/>
      <w:szCs w:val="22"/>
      <w:lang w:eastAsia="en-US"/>
    </w:rPr>
  </w:style>
  <w:style w:type="paragraph" w:customStyle="1" w:styleId="ZCom">
    <w:name w:val="Z_Com"/>
    <w:basedOn w:val="Normal"/>
    <w:next w:val="ZDGName"/>
    <w:rsid w:val="00F070A9"/>
    <w:pPr>
      <w:widowControl w:val="0"/>
      <w:ind w:right="85"/>
      <w:jc w:val="both"/>
    </w:pPr>
    <w:rPr>
      <w:rFonts w:ascii="Arial" w:hAnsi="Arial"/>
      <w:snapToGrid w:val="0"/>
      <w:lang w:val="sl-SI" w:eastAsia="en-US"/>
    </w:rPr>
  </w:style>
  <w:style w:type="paragraph" w:customStyle="1" w:styleId="ZDGName">
    <w:name w:val="Z_DGName"/>
    <w:basedOn w:val="Normal"/>
    <w:rsid w:val="00F070A9"/>
    <w:pPr>
      <w:widowControl w:val="0"/>
      <w:ind w:right="85"/>
      <w:jc w:val="both"/>
    </w:pPr>
    <w:rPr>
      <w:rFonts w:ascii="Arial" w:hAnsi="Arial"/>
      <w:snapToGrid w:val="0"/>
      <w:sz w:val="16"/>
      <w:lang w:val="sl-SI" w:eastAsia="en-US"/>
    </w:rPr>
  </w:style>
  <w:style w:type="character" w:styleId="Emphasis">
    <w:name w:val="Emphasis"/>
    <w:rsid w:val="00F070A9"/>
    <w:rPr>
      <w:i/>
      <w:iCs/>
    </w:rPr>
  </w:style>
  <w:style w:type="paragraph" w:customStyle="1" w:styleId="Heading3contract">
    <w:name w:val="Heading 3 contract"/>
    <w:basedOn w:val="Normal"/>
    <w:link w:val="Heading3contractChar"/>
    <w:autoRedefine/>
    <w:qFormat/>
    <w:rsid w:val="00F070A9"/>
    <w:pPr>
      <w:keepNext/>
      <w:spacing w:before="120"/>
      <w:ind w:left="709" w:hanging="709"/>
      <w:jc w:val="both"/>
    </w:pPr>
    <w:rPr>
      <w:b/>
      <w:szCs w:val="24"/>
      <w:lang w:val="sl-SI" w:eastAsia="ko-KR"/>
    </w:rPr>
  </w:style>
  <w:style w:type="character" w:customStyle="1" w:styleId="Heading3contractChar">
    <w:name w:val="Heading 3 contract Char"/>
    <w:link w:val="Heading3contract"/>
    <w:rsid w:val="00F070A9"/>
    <w:rPr>
      <w:b/>
      <w:sz w:val="24"/>
      <w:szCs w:val="24"/>
      <w:lang w:eastAsia="ko-KR"/>
    </w:rPr>
  </w:style>
  <w:style w:type="character" w:styleId="Hyperlink">
    <w:name w:val="Hyperlink"/>
    <w:uiPriority w:val="99"/>
    <w:unhideWhenUsed/>
    <w:rsid w:val="00F070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70A9"/>
    <w:rPr>
      <w:color w:val="800080"/>
      <w:u w:val="single"/>
    </w:rPr>
  </w:style>
  <w:style w:type="paragraph" w:customStyle="1" w:styleId="CharCharChar">
    <w:name w:val="Char Char Char"/>
    <w:basedOn w:val="Normal"/>
    <w:link w:val="CharCharCharChar"/>
    <w:rsid w:val="00F070A9"/>
    <w:pPr>
      <w:spacing w:after="160" w:line="240" w:lineRule="exact"/>
    </w:pPr>
    <w:rPr>
      <w:rFonts w:ascii="Tahoma" w:hAnsi="Tahoma"/>
      <w:sz w:val="20"/>
      <w:lang w:val="sl-SI" w:eastAsia="en-US"/>
    </w:rPr>
  </w:style>
  <w:style w:type="paragraph" w:customStyle="1" w:styleId="Char1CharCharCharCharCharChar">
    <w:name w:val="Char1 Char Char Char Char Char Char"/>
    <w:basedOn w:val="Normal"/>
    <w:rsid w:val="00F070A9"/>
    <w:pPr>
      <w:spacing w:after="160" w:line="240" w:lineRule="exact"/>
    </w:pPr>
    <w:rPr>
      <w:rFonts w:ascii="Tahoma" w:hAnsi="Tahoma"/>
      <w:sz w:val="20"/>
      <w:lang w:val="sl-SI" w:eastAsia="en-US"/>
    </w:rPr>
  </w:style>
  <w:style w:type="paragraph" w:customStyle="1" w:styleId="Text1">
    <w:name w:val="Text 1"/>
    <w:basedOn w:val="Normal"/>
    <w:rsid w:val="00F070A9"/>
    <w:pPr>
      <w:spacing w:after="240"/>
      <w:ind w:left="483"/>
      <w:jc w:val="both"/>
    </w:pPr>
    <w:rPr>
      <w:szCs w:val="24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F070A9"/>
    <w:pPr>
      <w:spacing w:after="200" w:line="276" w:lineRule="auto"/>
      <w:ind w:left="240"/>
    </w:pPr>
    <w:rPr>
      <w:rFonts w:eastAsia="Calibri"/>
      <w:szCs w:val="22"/>
      <w:lang w:val="sl-SI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070A9"/>
    <w:pPr>
      <w:tabs>
        <w:tab w:val="right" w:leader="dot" w:pos="9016"/>
      </w:tabs>
      <w:spacing w:after="200" w:line="276" w:lineRule="auto"/>
    </w:pPr>
    <w:rPr>
      <w:rFonts w:eastAsia="Calibri"/>
      <w:b/>
      <w:noProof/>
      <w:szCs w:val="22"/>
      <w:lang w:val="sl-SI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070A9"/>
    <w:pPr>
      <w:spacing w:after="200" w:line="276" w:lineRule="auto"/>
      <w:ind w:left="480"/>
    </w:pPr>
    <w:rPr>
      <w:rFonts w:eastAsia="Calibri"/>
      <w:szCs w:val="22"/>
      <w:lang w:val="sl-SI" w:eastAsia="en-US"/>
    </w:rPr>
  </w:style>
  <w:style w:type="paragraph" w:styleId="TOCHeading">
    <w:name w:val="TOC Heading"/>
    <w:basedOn w:val="Heading1"/>
    <w:next w:val="Normal"/>
    <w:uiPriority w:val="39"/>
    <w:unhideWhenUsed/>
    <w:rsid w:val="00F070A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customStyle="1" w:styleId="SC1">
    <w:name w:val="SC 1"/>
    <w:link w:val="SC1Char"/>
    <w:qFormat/>
    <w:rsid w:val="00F070A9"/>
    <w:pPr>
      <w:spacing w:line="360" w:lineRule="auto"/>
      <w:jc w:val="center"/>
    </w:pPr>
    <w:rPr>
      <w:rFonts w:ascii="Times New Roman Bold" w:hAnsi="Times New Roman Bold"/>
      <w:b/>
      <w:caps/>
      <w:sz w:val="24"/>
      <w:lang w:eastAsia="en-US"/>
    </w:rPr>
  </w:style>
  <w:style w:type="paragraph" w:styleId="NoSpacing">
    <w:name w:val="No Spacing"/>
    <w:uiPriority w:val="1"/>
    <w:qFormat/>
    <w:rsid w:val="00F070A9"/>
    <w:rPr>
      <w:rFonts w:eastAsia="Calibri"/>
      <w:sz w:val="24"/>
      <w:szCs w:val="22"/>
      <w:lang w:eastAsia="en-US"/>
    </w:rPr>
  </w:style>
  <w:style w:type="character" w:customStyle="1" w:styleId="CharCharCharChar">
    <w:name w:val="Char Char Char Char"/>
    <w:link w:val="CharCharChar"/>
    <w:rsid w:val="00F070A9"/>
    <w:rPr>
      <w:rFonts w:ascii="Tahoma" w:hAnsi="Tahoma"/>
      <w:lang w:val="sl-SI" w:eastAsia="en-US"/>
    </w:rPr>
  </w:style>
  <w:style w:type="character" w:customStyle="1" w:styleId="SC1Char">
    <w:name w:val="SC 1 Char"/>
    <w:link w:val="SC1"/>
    <w:rsid w:val="00F070A9"/>
    <w:rPr>
      <w:rFonts w:ascii="Times New Roman Bold" w:hAnsi="Times New Roman Bold"/>
      <w:b/>
      <w:caps/>
      <w:sz w:val="24"/>
      <w:lang w:val="sl-SI" w:eastAsia="en-US"/>
    </w:rPr>
  </w:style>
  <w:style w:type="paragraph" w:styleId="Subtitle">
    <w:name w:val="Subtitle"/>
    <w:aliases w:val="GC 1"/>
    <w:basedOn w:val="Normal"/>
    <w:next w:val="Normal"/>
    <w:link w:val="SubtitleChar"/>
    <w:uiPriority w:val="11"/>
    <w:qFormat/>
    <w:rsid w:val="00F070A9"/>
    <w:pPr>
      <w:numPr>
        <w:ilvl w:val="1"/>
      </w:numPr>
      <w:spacing w:after="200" w:line="276" w:lineRule="auto"/>
      <w:jc w:val="center"/>
    </w:pPr>
    <w:rPr>
      <w:rFonts w:ascii="Times New Roman Bold" w:hAnsi="Times New Roman Bold"/>
      <w:b/>
      <w:iCs/>
      <w:caps/>
      <w:spacing w:val="15"/>
      <w:szCs w:val="24"/>
      <w:lang w:val="sl-SI" w:eastAsia="en-US"/>
    </w:rPr>
  </w:style>
  <w:style w:type="character" w:customStyle="1" w:styleId="SubtitleChar">
    <w:name w:val="Subtitle Char"/>
    <w:aliases w:val="GC 1 Char"/>
    <w:link w:val="Subtitle"/>
    <w:uiPriority w:val="11"/>
    <w:rsid w:val="00F070A9"/>
    <w:rPr>
      <w:rFonts w:ascii="Times New Roman Bold" w:hAnsi="Times New Roman Bold"/>
      <w:b/>
      <w:iCs/>
      <w:caps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F070A9"/>
    <w:rPr>
      <w:i/>
      <w:iCs/>
      <w:color w:val="808080"/>
    </w:rPr>
  </w:style>
  <w:style w:type="character" w:styleId="SubtleReference">
    <w:name w:val="Subtle Reference"/>
    <w:uiPriority w:val="31"/>
    <w:rsid w:val="00F070A9"/>
    <w:rPr>
      <w:smallCaps/>
      <w:color w:val="C0504D"/>
      <w:u w:val="single"/>
    </w:rPr>
  </w:style>
  <w:style w:type="paragraph" w:styleId="NormalIndent">
    <w:name w:val="Normal Indent"/>
    <w:basedOn w:val="Normal"/>
    <w:rsid w:val="004D341D"/>
    <w:pPr>
      <w:spacing w:after="240"/>
      <w:ind w:left="720"/>
      <w:jc w:val="both"/>
    </w:pPr>
    <w:rPr>
      <w:lang w:val="sl-SI" w:eastAsia="en-US"/>
    </w:rPr>
  </w:style>
  <w:style w:type="paragraph" w:customStyle="1" w:styleId="AMainbody">
    <w:name w:val="A.Main body"/>
    <w:basedOn w:val="Normal"/>
    <w:link w:val="AMainbodyChar"/>
    <w:qFormat/>
    <w:rsid w:val="001824CD"/>
    <w:pPr>
      <w:suppressAutoHyphens/>
      <w:autoSpaceDN w:val="0"/>
      <w:spacing w:after="120"/>
      <w:jc w:val="both"/>
      <w:textAlignment w:val="baseline"/>
    </w:pPr>
    <w:rPr>
      <w:rFonts w:ascii="Calibri" w:hAnsi="Calibri" w:cs="Tahoma"/>
      <w:kern w:val="3"/>
      <w:sz w:val="18"/>
      <w:szCs w:val="18"/>
      <w:shd w:val="clear" w:color="auto" w:fill="FFFFFF"/>
      <w:lang w:val="sl-SI"/>
    </w:rPr>
  </w:style>
  <w:style w:type="character" w:customStyle="1" w:styleId="AMainbodyChar">
    <w:name w:val="A.Main body Char"/>
    <w:link w:val="AMainbody"/>
    <w:rsid w:val="001824CD"/>
    <w:rPr>
      <w:rFonts w:ascii="Calibri" w:hAnsi="Calibri" w:cs="Tahoma"/>
      <w:kern w:val="3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16BC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F516BC"/>
    <w:rPr>
      <w:lang w:val="nl-BE"/>
    </w:rPr>
  </w:style>
  <w:style w:type="character" w:styleId="EndnoteReference">
    <w:name w:val="endnote reference"/>
    <w:uiPriority w:val="99"/>
    <w:semiHidden/>
    <w:unhideWhenUsed/>
    <w:rsid w:val="00F516BC"/>
    <w:rPr>
      <w:vertAlign w:val="superscript"/>
    </w:rPr>
  </w:style>
  <w:style w:type="character" w:customStyle="1" w:styleId="tlid-translation">
    <w:name w:val="tlid-translation"/>
    <w:basedOn w:val="DefaultParagraphFont"/>
    <w:rsid w:val="00A8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ovit.s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F881B98-FD65-41A7-8F5A-4FE373F8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1975</Words>
  <Characters>12006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maesron</dc:creator>
  <cp:lastModifiedBy>Ana Anzeljc</cp:lastModifiedBy>
  <cp:revision>10</cp:revision>
  <cp:lastPrinted>2018-12-10T16:39:00Z</cp:lastPrinted>
  <dcterms:created xsi:type="dcterms:W3CDTF">2019-02-06T11:11:00Z</dcterms:created>
  <dcterms:modified xsi:type="dcterms:W3CDTF">2019-02-12T08:57:00Z</dcterms:modified>
</cp:coreProperties>
</file>