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08CE" w14:textId="77777777" w:rsidR="00971CE4" w:rsidRPr="000D3FA6" w:rsidRDefault="00971CE4"/>
    <w:p w14:paraId="44088E3E" w14:textId="77777777" w:rsidR="00971CE4" w:rsidRPr="000D3FA6" w:rsidRDefault="007B6E89">
      <w:pPr>
        <w:jc w:val="center"/>
      </w:pPr>
      <w:r w:rsidRPr="000D3FA6">
        <w:rPr>
          <w:b/>
          <w:u w:val="single"/>
        </w:rPr>
        <w:t xml:space="preserve">POSEBNI SPORAZUM </w:t>
      </w:r>
      <w:r w:rsidRPr="00494B64">
        <w:rPr>
          <w:b/>
          <w:highlight w:val="yellow"/>
          <w:u w:val="single"/>
        </w:rPr>
        <w:t>št./..</w:t>
      </w:r>
    </w:p>
    <w:p w14:paraId="2863AEA5" w14:textId="77777777" w:rsidR="00971CE4" w:rsidRPr="000D3FA6" w:rsidRDefault="00971CE4"/>
    <w:p w14:paraId="132FC909" w14:textId="700961BE" w:rsidR="00971CE4" w:rsidRPr="000D3FA6" w:rsidRDefault="007B6E89">
      <w:pPr>
        <w:pStyle w:val="BodyText"/>
        <w:jc w:val="left"/>
        <w:rPr>
          <w:lang w:val="sl-SI"/>
        </w:rPr>
      </w:pPr>
      <w:r w:rsidRPr="000D3FA6">
        <w:rPr>
          <w:lang w:val="sl-SI"/>
        </w:rPr>
        <w:t xml:space="preserve">Ta posebni sporazum ("posebni sporazum") je sklenjen med </w:t>
      </w:r>
      <w:r w:rsidR="000D3FA6">
        <w:rPr>
          <w:lang w:val="sl-SI"/>
        </w:rPr>
        <w:t>naslednjima strankama</w:t>
      </w:r>
      <w:r w:rsidRPr="000D3FA6">
        <w:rPr>
          <w:lang w:val="sl-SI"/>
        </w:rPr>
        <w:t>:</w:t>
      </w:r>
    </w:p>
    <w:p w14:paraId="2B40109F" w14:textId="77777777" w:rsidR="00971CE4" w:rsidRPr="000D3FA6" w:rsidRDefault="00971CE4">
      <w:pPr>
        <w:pStyle w:val="BodyText"/>
        <w:jc w:val="left"/>
        <w:rPr>
          <w:lang w:val="sl-SI"/>
        </w:rPr>
      </w:pPr>
    </w:p>
    <w:p w14:paraId="53CA7FFF" w14:textId="27AB1C95" w:rsidR="00971CE4" w:rsidRDefault="007B6E89">
      <w:r w:rsidRPr="000D3FA6">
        <w:t>Na eni strani,</w:t>
      </w:r>
    </w:p>
    <w:p w14:paraId="6A745878" w14:textId="77777777" w:rsidR="00494B64" w:rsidRPr="000D3FA6" w:rsidRDefault="00494B64"/>
    <w:p w14:paraId="776A355A" w14:textId="653BE333" w:rsidR="00494B64" w:rsidRPr="00E17FAD" w:rsidRDefault="00494B64" w:rsidP="00494B64">
      <w:pPr>
        <w:pStyle w:val="NoSpacing"/>
        <w:rPr>
          <w:b/>
        </w:rPr>
      </w:pPr>
      <w:r w:rsidRPr="00E17FAD">
        <w:rPr>
          <w:b/>
        </w:rPr>
        <w:t>Movit, Zavod za razvoj mobilnosti mladih</w:t>
      </w:r>
    </w:p>
    <w:p w14:paraId="408DB01C" w14:textId="77777777" w:rsidR="00494B64" w:rsidRPr="00E17FAD" w:rsidRDefault="00494B64" w:rsidP="00494B64">
      <w:pPr>
        <w:pStyle w:val="NoSpacing"/>
      </w:pPr>
      <w:r w:rsidRPr="00E17FAD">
        <w:t>Dunajska cesta 5, 1000 Ljubljana, Slovenija</w:t>
      </w:r>
    </w:p>
    <w:p w14:paraId="16AA0A1A" w14:textId="77777777" w:rsidR="00494B64" w:rsidRPr="00E17FAD" w:rsidRDefault="00494B64" w:rsidP="00494B64">
      <w:pPr>
        <w:pStyle w:val="NoSpacing"/>
      </w:pPr>
      <w:r w:rsidRPr="00E17FAD">
        <w:t>Matična številka: 1199013001</w:t>
      </w:r>
    </w:p>
    <w:p w14:paraId="14523874" w14:textId="24E7F12D" w:rsidR="00494B64" w:rsidRDefault="00494B64" w:rsidP="00494B64">
      <w:pPr>
        <w:pStyle w:val="NoSpacing"/>
      </w:pPr>
      <w:r w:rsidRPr="00E17FAD">
        <w:t xml:space="preserve">ID številka za DDV: </w:t>
      </w:r>
      <w:r w:rsidR="003D2DF0">
        <w:t>SI</w:t>
      </w:r>
      <w:r w:rsidRPr="00E17FAD">
        <w:t>87660407</w:t>
      </w:r>
    </w:p>
    <w:p w14:paraId="2D66D69B" w14:textId="77777777" w:rsidR="00494B64" w:rsidRDefault="00494B64" w:rsidP="00494B64">
      <w:pPr>
        <w:pStyle w:val="NoSpacing"/>
      </w:pPr>
    </w:p>
    <w:p w14:paraId="5F7E16B6" w14:textId="7A09D8DD" w:rsidR="00971CE4" w:rsidRPr="000D3FA6" w:rsidRDefault="007B6E89">
      <w:pPr>
        <w:jc w:val="both"/>
      </w:pPr>
      <w:r w:rsidRPr="000D3FA6">
        <w:rPr>
          <w:b/>
        </w:rPr>
        <w:t>Nacionalna agencija</w:t>
      </w:r>
      <w:r w:rsidRPr="000D3FA6">
        <w:t xml:space="preserve"> (v nadaljnjem besedilu "NA"), ki jo za namene podpisa tega posebnega sporazuma zastopa </w:t>
      </w:r>
      <w:r w:rsidR="00494B64" w:rsidRPr="00FE29A7">
        <w:t>direktor Uroš Skrinar</w:t>
      </w:r>
      <w:r w:rsidR="00494B64">
        <w:t xml:space="preserve">, </w:t>
      </w:r>
      <w:r w:rsidRPr="000D3FA6">
        <w:t>ki deluje pod pooblastilom Evropske komisije, v nadaljnjem besedilu "Komisija",</w:t>
      </w:r>
    </w:p>
    <w:p w14:paraId="033A3869" w14:textId="757F863A" w:rsidR="00971CE4" w:rsidRDefault="003D2DF0">
      <w:pPr>
        <w:rPr>
          <w:b/>
        </w:rPr>
      </w:pPr>
      <w:r>
        <w:rPr>
          <w:b/>
        </w:rPr>
        <w:t>i</w:t>
      </w:r>
      <w:r w:rsidR="007B6E89" w:rsidRPr="000D3FA6">
        <w:rPr>
          <w:b/>
        </w:rPr>
        <w:t>n</w:t>
      </w:r>
    </w:p>
    <w:p w14:paraId="1AFA36E2" w14:textId="77777777" w:rsidR="00F944CA" w:rsidRPr="000D3FA6" w:rsidRDefault="00F944CA">
      <w:pPr>
        <w:rPr>
          <w:b/>
        </w:rPr>
      </w:pPr>
    </w:p>
    <w:p w14:paraId="6B92C405" w14:textId="6020CE98" w:rsidR="00971CE4" w:rsidRDefault="007B6E89">
      <w:pPr>
        <w:jc w:val="both"/>
      </w:pPr>
      <w:r w:rsidRPr="000D3FA6">
        <w:t xml:space="preserve">na drugi strani, </w:t>
      </w:r>
    </w:p>
    <w:p w14:paraId="65A27FF9" w14:textId="77777777" w:rsidR="003D2DF0" w:rsidRPr="000D3FA6" w:rsidRDefault="003D2DF0">
      <w:pPr>
        <w:jc w:val="both"/>
      </w:pPr>
    </w:p>
    <w:p w14:paraId="7876F6A4" w14:textId="3AD1D280" w:rsidR="00971CE4" w:rsidRDefault="00D11230">
      <w:pPr>
        <w:jc w:val="both"/>
      </w:pPr>
      <w:r>
        <w:t>"partner</w:t>
      </w:r>
      <w:r w:rsidR="007B6E89" w:rsidRPr="000D3FA6">
        <w:t>"</w:t>
      </w:r>
    </w:p>
    <w:p w14:paraId="1E854BD3" w14:textId="77777777" w:rsidR="003D2DF0" w:rsidRPr="000D3FA6" w:rsidRDefault="003D2DF0">
      <w:pPr>
        <w:jc w:val="both"/>
      </w:pPr>
    </w:p>
    <w:p w14:paraId="06E0E80B" w14:textId="2ED8247A" w:rsidR="00971CE4" w:rsidRPr="000D3FA6" w:rsidRDefault="00D11230">
      <w:pPr>
        <w:rPr>
          <w:shd w:val="clear" w:color="auto" w:fill="C0C0C0"/>
        </w:rPr>
      </w:pPr>
      <w:r>
        <w:rPr>
          <w:shd w:val="clear" w:color="auto" w:fill="C0C0C0"/>
        </w:rPr>
        <w:t>[polno uradno ime partnerja</w:t>
      </w:r>
      <w:r w:rsidR="007B6E89" w:rsidRPr="000D3FA6">
        <w:rPr>
          <w:shd w:val="clear" w:color="auto" w:fill="C0C0C0"/>
        </w:rPr>
        <w:t>]</w:t>
      </w:r>
    </w:p>
    <w:p w14:paraId="7D32A836" w14:textId="2DA5128F" w:rsidR="00971CE4" w:rsidRDefault="007B6E89">
      <w:pPr>
        <w:rPr>
          <w:i/>
          <w:shd w:val="clear" w:color="auto" w:fill="C0C0C0"/>
        </w:rPr>
      </w:pPr>
      <w:r w:rsidRPr="000D3FA6">
        <w:rPr>
          <w:shd w:val="clear" w:color="auto" w:fill="C0C0C0"/>
        </w:rPr>
        <w:t xml:space="preserve">[uradna pravna oblika] </w:t>
      </w:r>
      <w:r w:rsidRPr="000D3FA6">
        <w:rPr>
          <w:i/>
          <w:shd w:val="clear" w:color="auto" w:fill="C0C0C0"/>
        </w:rPr>
        <w:t>[če se uporablja]</w:t>
      </w:r>
    </w:p>
    <w:p w14:paraId="1B6C24FE" w14:textId="0D04CF82" w:rsidR="00971CE4" w:rsidRPr="00102B95" w:rsidRDefault="00102B95">
      <w:pPr>
        <w:rPr>
          <w:shd w:val="clear" w:color="auto" w:fill="C0C0C0"/>
        </w:rPr>
      </w:pPr>
      <w:r>
        <w:rPr>
          <w:snapToGrid w:val="0"/>
        </w:rPr>
        <w:t>Matična številka:</w:t>
      </w:r>
      <w:r w:rsidRPr="00102B95">
        <w:rPr>
          <w:i/>
          <w:shd w:val="clear" w:color="auto" w:fill="C0C0C0"/>
        </w:rPr>
        <w:t xml:space="preserve"> </w:t>
      </w:r>
      <w:r w:rsidRPr="000D3FA6">
        <w:rPr>
          <w:i/>
          <w:shd w:val="clear" w:color="auto" w:fill="C0C0C0"/>
        </w:rPr>
        <w:t>[če se uporablja]</w:t>
      </w:r>
    </w:p>
    <w:p w14:paraId="1ED3E40A" w14:textId="2336ADF1" w:rsidR="00971CE4" w:rsidRDefault="007B6E89">
      <w:pPr>
        <w:rPr>
          <w:shd w:val="clear" w:color="auto" w:fill="C0C0C0"/>
        </w:rPr>
      </w:pPr>
      <w:r w:rsidRPr="000D3FA6">
        <w:rPr>
          <w:shd w:val="clear" w:color="auto" w:fill="C0C0C0"/>
        </w:rPr>
        <w:t>[polni uradni naslov]</w:t>
      </w:r>
    </w:p>
    <w:p w14:paraId="48EA1AF0" w14:textId="051B0FA8" w:rsidR="00CE2009" w:rsidRDefault="00F31E85">
      <w:pPr>
        <w:rPr>
          <w:i/>
          <w:shd w:val="clear" w:color="auto" w:fill="C0C0C0"/>
        </w:rPr>
      </w:pPr>
      <w:r>
        <w:rPr>
          <w:snapToGrid w:val="0"/>
        </w:rPr>
        <w:t xml:space="preserve">ID številka za DDV/ Davčna številka: </w:t>
      </w:r>
      <w:r>
        <w:rPr>
          <w:i/>
          <w:shd w:val="clear" w:color="auto" w:fill="C0C0C0"/>
        </w:rPr>
        <w:t>če se uporablja</w:t>
      </w:r>
    </w:p>
    <w:p w14:paraId="7A344F29" w14:textId="77777777" w:rsidR="00CE2009" w:rsidRDefault="00CE2009">
      <w:pPr>
        <w:rPr>
          <w:i/>
          <w:shd w:val="clear" w:color="auto" w:fill="C0C0C0"/>
        </w:rPr>
      </w:pPr>
    </w:p>
    <w:p w14:paraId="221192F9" w14:textId="77777777" w:rsidR="00CE2009" w:rsidRPr="000D3FA6" w:rsidRDefault="00CE2009" w:rsidP="00CE2009">
      <w:pPr>
        <w:rPr>
          <w:shd w:val="clear" w:color="auto" w:fill="C0C0C0"/>
        </w:rPr>
      </w:pPr>
      <w:r>
        <w:rPr>
          <w:snapToGrid w:val="0"/>
        </w:rPr>
        <w:t xml:space="preserve">Koda PIC: </w:t>
      </w:r>
      <w:r>
        <w:rPr>
          <w:shd w:val="clear" w:color="auto" w:fill="C0C0C0"/>
        </w:rPr>
        <w:t>[koda</w:t>
      </w:r>
      <w:r w:rsidRPr="000D3FA6">
        <w:rPr>
          <w:shd w:val="clear" w:color="auto" w:fill="C0C0C0"/>
        </w:rPr>
        <w:t xml:space="preserve"> PIC],</w:t>
      </w:r>
    </w:p>
    <w:p w14:paraId="1C6DF700" w14:textId="6E546EBB" w:rsidR="00494B64" w:rsidRPr="000D3FA6" w:rsidRDefault="00494B64">
      <w:pPr>
        <w:jc w:val="both"/>
        <w:rPr>
          <w:i/>
          <w:snapToGrid w:val="0"/>
        </w:rPr>
      </w:pPr>
    </w:p>
    <w:p w14:paraId="3FEE8E69" w14:textId="020D4E03" w:rsidR="00971CE4" w:rsidRPr="003D2DF0" w:rsidRDefault="00F944CA">
      <w:pPr>
        <w:rPr>
          <w:snapToGrid w:val="0"/>
        </w:rPr>
      </w:pPr>
      <w:r>
        <w:rPr>
          <w:snapToGrid w:val="0"/>
        </w:rPr>
        <w:t>Številka</w:t>
      </w:r>
      <w:r w:rsidR="007B6E89" w:rsidRPr="000D3FA6">
        <w:rPr>
          <w:snapToGrid w:val="0"/>
        </w:rPr>
        <w:t xml:space="preserve"> </w:t>
      </w:r>
      <w:r w:rsidR="000D3FA6">
        <w:rPr>
          <w:snapToGrid w:val="0"/>
        </w:rPr>
        <w:t>znaka</w:t>
      </w:r>
      <w:r w:rsidR="007B6E89" w:rsidRPr="000D3FA6">
        <w:rPr>
          <w:snapToGrid w:val="0"/>
        </w:rPr>
        <w:t xml:space="preserve"> kakovosti [</w:t>
      </w:r>
      <w:r w:rsidR="007B6E89" w:rsidRPr="000D3FA6">
        <w:rPr>
          <w:snapToGrid w:val="0"/>
          <w:highlight w:val="lightGray"/>
        </w:rPr>
        <w:t>številka</w:t>
      </w:r>
      <w:r w:rsidR="000D3FA6">
        <w:rPr>
          <w:snapToGrid w:val="0"/>
        </w:rPr>
        <w:t xml:space="preserve"> znaka kakovosti</w:t>
      </w:r>
      <w:r w:rsidR="007B6E89" w:rsidRPr="000D3FA6">
        <w:rPr>
          <w:snapToGrid w:val="0"/>
        </w:rPr>
        <w:t xml:space="preserve">]: </w:t>
      </w:r>
      <w:r w:rsidR="007B6E89" w:rsidRPr="000D3FA6">
        <w:rPr>
          <w:snapToGrid w:val="0"/>
          <w:highlight w:val="lightGray"/>
        </w:rPr>
        <w:t>……</w:t>
      </w:r>
    </w:p>
    <w:p w14:paraId="76EFE78B" w14:textId="5097812B" w:rsidR="00971CE4" w:rsidRPr="000D3FA6" w:rsidRDefault="007B6E89">
      <w:pPr>
        <w:rPr>
          <w:snapToGrid w:val="0"/>
        </w:rPr>
      </w:pPr>
      <w:r w:rsidRPr="000D3FA6">
        <w:rPr>
          <w:snapToGrid w:val="0"/>
        </w:rPr>
        <w:t>Akreditacija</w:t>
      </w:r>
      <w:r w:rsidR="00F944CA">
        <w:rPr>
          <w:snapToGrid w:val="0"/>
        </w:rPr>
        <w:t xml:space="preserve"> za prostovoljstvo iz programa</w:t>
      </w:r>
      <w:r w:rsidRPr="000D3FA6">
        <w:rPr>
          <w:snapToGrid w:val="0"/>
        </w:rPr>
        <w:t xml:space="preserve"> Erasmus +: [</w:t>
      </w:r>
      <w:r w:rsidRPr="000D3FA6">
        <w:rPr>
          <w:shd w:val="clear" w:color="auto" w:fill="C0C0C0"/>
        </w:rPr>
        <w:t>številka akreditacije</w:t>
      </w:r>
      <w:r w:rsidRPr="000D3FA6">
        <w:rPr>
          <w:snapToGrid w:val="0"/>
        </w:rPr>
        <w:t>]</w:t>
      </w:r>
      <w:r w:rsidR="000D3FA6">
        <w:rPr>
          <w:snapToGrid w:val="0"/>
        </w:rPr>
        <w:t>,</w:t>
      </w:r>
    </w:p>
    <w:p w14:paraId="6C92AB04" w14:textId="77777777" w:rsidR="00971CE4" w:rsidRPr="000D3FA6" w:rsidRDefault="00971CE4">
      <w:pPr>
        <w:rPr>
          <w:snapToGrid w:val="0"/>
        </w:rPr>
      </w:pPr>
    </w:p>
    <w:p w14:paraId="51B7AB78" w14:textId="49895DE7" w:rsidR="00971CE4" w:rsidRPr="000D3FA6" w:rsidRDefault="006D1C97">
      <w:pPr>
        <w:jc w:val="both"/>
      </w:pPr>
      <w:r>
        <w:t>ki jo</w:t>
      </w:r>
      <w:r w:rsidR="007B6E89" w:rsidRPr="000D3FA6">
        <w:t xml:space="preserve"> za namene podpisa tega posebnega sporazuma zastopa</w:t>
      </w:r>
      <w:r w:rsidR="000D3FA6">
        <w:t xml:space="preserve"> </w:t>
      </w:r>
      <w:r w:rsidR="00F944CA">
        <w:rPr>
          <w:shd w:val="clear" w:color="auto" w:fill="C0C0C0"/>
        </w:rPr>
        <w:t>položaj</w:t>
      </w:r>
      <w:r w:rsidR="007B6E89" w:rsidRPr="000D3FA6">
        <w:rPr>
          <w:shd w:val="clear" w:color="auto" w:fill="C0C0C0"/>
        </w:rPr>
        <w:t>, ime in priimek</w:t>
      </w:r>
      <w:r w:rsidR="007B6E89" w:rsidRPr="000D3FA6">
        <w:t>]</w:t>
      </w:r>
    </w:p>
    <w:p w14:paraId="70455534" w14:textId="77777777" w:rsidR="00971CE4" w:rsidRPr="000D3FA6" w:rsidRDefault="00971CE4">
      <w:pPr>
        <w:spacing w:after="200" w:line="276" w:lineRule="auto"/>
      </w:pPr>
    </w:p>
    <w:p w14:paraId="7456F662" w14:textId="4A59C0C6" w:rsidR="00971CE4" w:rsidRPr="000D3FA6" w:rsidRDefault="007B6E89">
      <w:pPr>
        <w:spacing w:after="200" w:line="276" w:lineRule="auto"/>
      </w:pPr>
      <w:r w:rsidRPr="000D3FA6">
        <w:t>Zgoraj navedeni stranki</w:t>
      </w:r>
    </w:p>
    <w:p w14:paraId="4736FBBF" w14:textId="30EC444B" w:rsidR="00971CE4" w:rsidRPr="000D3FA6" w:rsidRDefault="006D1C97">
      <w:pPr>
        <w:spacing w:after="200" w:line="276" w:lineRule="auto"/>
      </w:pPr>
      <w:r>
        <w:t>SE STRINJATA</w:t>
      </w:r>
    </w:p>
    <w:p w14:paraId="67A7C9F7" w14:textId="1EFBAD79" w:rsidR="00971CE4" w:rsidRPr="000D3FA6" w:rsidRDefault="007B6E89" w:rsidP="00494B64">
      <w:pPr>
        <w:spacing w:after="200" w:line="276" w:lineRule="auto"/>
      </w:pPr>
      <w:r w:rsidRPr="000D3FA6">
        <w:t>s posebnim sporazumom in naslednjimi prilogami:</w:t>
      </w:r>
    </w:p>
    <w:p w14:paraId="2AFBEFC2" w14:textId="4417EDD9" w:rsidR="00971CE4" w:rsidRPr="000D3FA6" w:rsidRDefault="006D1C97">
      <w:pPr>
        <w:tabs>
          <w:tab w:val="left" w:pos="1276"/>
        </w:tabs>
        <w:spacing w:line="276" w:lineRule="auto"/>
      </w:pPr>
      <w:r>
        <w:t xml:space="preserve">Priloga I     </w:t>
      </w:r>
      <w:r w:rsidR="007B6E89" w:rsidRPr="000D3FA6">
        <w:t>se ne uporablja</w:t>
      </w:r>
    </w:p>
    <w:p w14:paraId="16576E5A" w14:textId="4A38A353" w:rsidR="00971CE4" w:rsidRPr="000D3FA6" w:rsidRDefault="007B6E89">
      <w:pPr>
        <w:tabs>
          <w:tab w:val="left" w:pos="1276"/>
        </w:tabs>
        <w:spacing w:line="276" w:lineRule="auto"/>
      </w:pPr>
      <w:r w:rsidRPr="000D3FA6">
        <w:t xml:space="preserve">Priloga II </w:t>
      </w:r>
      <w:r w:rsidR="006D1C97">
        <w:t xml:space="preserve">   </w:t>
      </w:r>
      <w:r w:rsidRPr="000D3FA6">
        <w:t>Opis ukrepa; predvideni proračun</w:t>
      </w:r>
    </w:p>
    <w:p w14:paraId="7F725E6E" w14:textId="79DE846F" w:rsidR="00971CE4" w:rsidRPr="000D3FA6" w:rsidRDefault="007B6E89">
      <w:pPr>
        <w:spacing w:line="276" w:lineRule="auto"/>
        <w:ind w:left="1276" w:hanging="1276"/>
      </w:pPr>
      <w:r w:rsidRPr="000D3FA6">
        <w:t xml:space="preserve">Priloga III </w:t>
      </w:r>
      <w:r w:rsidR="006D1C97">
        <w:t xml:space="preserve">  </w:t>
      </w:r>
      <w:r w:rsidRPr="000D3FA6">
        <w:t>Finančna in pogodbena pravila</w:t>
      </w:r>
    </w:p>
    <w:p w14:paraId="765D79A0" w14:textId="1542DE92" w:rsidR="00971CE4" w:rsidRPr="000D3FA6" w:rsidRDefault="006D1C97">
      <w:pPr>
        <w:spacing w:line="276" w:lineRule="auto"/>
        <w:ind w:left="1276" w:hanging="1276"/>
      </w:pPr>
      <w:r>
        <w:t xml:space="preserve">Priloga IV   </w:t>
      </w:r>
      <w:r w:rsidR="007B6E89" w:rsidRPr="000D3FA6">
        <w:t>Veljavne stopnje</w:t>
      </w:r>
    </w:p>
    <w:p w14:paraId="032A0E47" w14:textId="4EEC6146" w:rsidR="00971CE4" w:rsidRPr="000D3FA6" w:rsidRDefault="007B6E89">
      <w:pPr>
        <w:spacing w:line="276" w:lineRule="auto"/>
        <w:ind w:left="1276" w:hanging="1276"/>
      </w:pPr>
      <w:r w:rsidRPr="000D3FA6">
        <w:t xml:space="preserve">Priloga V </w:t>
      </w:r>
      <w:r w:rsidR="006D1C97">
        <w:t xml:space="preserve">   </w:t>
      </w:r>
      <w:r w:rsidRPr="000D3FA6">
        <w:t>Predloga za sporazume, ki se uporabljajo med partnerji in prostovoljci</w:t>
      </w:r>
    </w:p>
    <w:p w14:paraId="69F516D6" w14:textId="73849780" w:rsidR="00971CE4" w:rsidRPr="000D3FA6" w:rsidRDefault="007B6E89">
      <w:pPr>
        <w:pStyle w:val="Heading1"/>
      </w:pPr>
      <w:r w:rsidRPr="000D3FA6">
        <w:lastRenderedPageBreak/>
        <w:t>ČLEN 1 - PREDMET SPORAZUMA</w:t>
      </w:r>
    </w:p>
    <w:p w14:paraId="7A79EDB3" w14:textId="6A201976" w:rsidR="00971CE4" w:rsidRPr="000D3FA6" w:rsidRDefault="00971CE4">
      <w:pPr>
        <w:jc w:val="both"/>
        <w:rPr>
          <w:b/>
          <w:i/>
        </w:rPr>
      </w:pPr>
    </w:p>
    <w:p w14:paraId="614BB3EC" w14:textId="5A3A3643" w:rsidR="00971CE4" w:rsidRPr="000D3FA6" w:rsidRDefault="007B6E89">
      <w:pPr>
        <w:pStyle w:val="BodyText"/>
        <w:rPr>
          <w:lang w:val="sl-SI"/>
        </w:rPr>
      </w:pPr>
      <w:r w:rsidRPr="000D3FA6">
        <w:rPr>
          <w:lang w:val="sl-SI"/>
        </w:rPr>
        <w:t xml:space="preserve">Posebni sporazum je sklenjen v okviru partnerstva med strankama. Sestavljen je v skladu z ustreznimi pogoji okvirnega partnerskega sporazuma št. </w:t>
      </w:r>
      <w:r w:rsidRPr="000F66FA">
        <w:rPr>
          <w:highlight w:val="yellow"/>
          <w:lang w:val="sl-SI"/>
        </w:rPr>
        <w:t>[…]</w:t>
      </w:r>
      <w:r w:rsidRPr="000D3FA6">
        <w:rPr>
          <w:lang w:val="sl-SI"/>
        </w:rPr>
        <w:t xml:space="preserve">, podpisanim med NA in partnerjem </w:t>
      </w:r>
      <w:r w:rsidRPr="000F66FA">
        <w:rPr>
          <w:highlight w:val="yellow"/>
          <w:lang w:val="sl-SI"/>
        </w:rPr>
        <w:t>[vstaviti datum, ko je zadnja stranka podpisala okvirni sporazum]</w:t>
      </w:r>
      <w:r w:rsidRPr="000D3FA6">
        <w:rPr>
          <w:lang w:val="sl-SI"/>
        </w:rPr>
        <w:t xml:space="preserve"> ("okvirni sporazum").</w:t>
      </w:r>
    </w:p>
    <w:p w14:paraId="30424E89" w14:textId="77777777" w:rsidR="00971CE4" w:rsidRPr="000D3FA6" w:rsidRDefault="00971CE4">
      <w:pPr>
        <w:pStyle w:val="BodyText"/>
        <w:rPr>
          <w:lang w:val="sl-SI"/>
        </w:rPr>
      </w:pPr>
    </w:p>
    <w:p w14:paraId="7ACBA386" w14:textId="160D9482" w:rsidR="00971CE4" w:rsidRPr="000D3FA6" w:rsidRDefault="007B6E89">
      <w:pPr>
        <w:jc w:val="both"/>
        <w:rPr>
          <w:i/>
        </w:rPr>
      </w:pPr>
      <w:r w:rsidRPr="000D3FA6">
        <w:t>NA se je odločil</w:t>
      </w:r>
      <w:r w:rsidR="00A331E5">
        <w:t>a, da pod pogoji, določenimi v posebnem sporazumu in o</w:t>
      </w:r>
      <w:r w:rsidRPr="000D3FA6">
        <w:t xml:space="preserve">kvirnem sporazumu, dodeli nepovratna sredstva ("posebna </w:t>
      </w:r>
      <w:r w:rsidR="00A331E5">
        <w:t>nepovratna sredstva</w:t>
      </w:r>
      <w:r w:rsidRPr="000D3FA6">
        <w:t xml:space="preserve"> za aktivnost") za ak</w:t>
      </w:r>
      <w:r w:rsidR="006A52B8">
        <w:t>tivnost</w:t>
      </w:r>
      <w:r w:rsidRPr="00F944CA">
        <w:rPr>
          <w:b/>
          <w:highlight w:val="yellow"/>
        </w:rPr>
        <w:t xml:space="preserve">[vstavite </w:t>
      </w:r>
      <w:r w:rsidR="00A331E5" w:rsidRPr="00F944CA">
        <w:rPr>
          <w:b/>
          <w:highlight w:val="yellow"/>
        </w:rPr>
        <w:t>naziv ak</w:t>
      </w:r>
      <w:r w:rsidRPr="00F944CA">
        <w:rPr>
          <w:b/>
          <w:highlight w:val="yellow"/>
        </w:rPr>
        <w:t>tivnosti v krepkem tisku]</w:t>
      </w:r>
      <w:r w:rsidRPr="000D3FA6">
        <w:rPr>
          <w:i/>
        </w:rPr>
        <w:t xml:space="preserve"> </w:t>
      </w:r>
      <w:r w:rsidRPr="000D3FA6">
        <w:t>("aktivnost"), kakor je opisano v Prilogi II.</w:t>
      </w:r>
      <w:r w:rsidRPr="000D3FA6">
        <w:rPr>
          <w:i/>
        </w:rPr>
        <w:t xml:space="preserve"> </w:t>
      </w:r>
    </w:p>
    <w:p w14:paraId="714D5000" w14:textId="77777777" w:rsidR="00971CE4" w:rsidRPr="000D3FA6" w:rsidRDefault="00971CE4">
      <w:pPr>
        <w:jc w:val="both"/>
      </w:pPr>
    </w:p>
    <w:p w14:paraId="3E0307A9" w14:textId="1FA449CA" w:rsidR="00971CE4" w:rsidRPr="000D3FA6" w:rsidRDefault="007B6E89">
      <w:pPr>
        <w:jc w:val="both"/>
      </w:pPr>
      <w:r w:rsidRPr="000D3FA6">
        <w:t xml:space="preserve">S podpisom posebnega sporazuma partner sprejema nepovratna sredstva in se strinja, da bo izvedel aktivnosti v skladu s pogoji in določili posebnega sporazuma in okvirnega sporazuma, </w:t>
      </w:r>
      <w:r w:rsidR="00A331E5">
        <w:t xml:space="preserve">vse </w:t>
      </w:r>
      <w:r w:rsidRPr="000D3FA6">
        <w:t>na lastno odgovornost.</w:t>
      </w:r>
    </w:p>
    <w:p w14:paraId="40BCD4D2" w14:textId="77777777" w:rsidR="00971CE4" w:rsidRPr="000D3FA6" w:rsidRDefault="007B6E89">
      <w:pPr>
        <w:pStyle w:val="Heading1"/>
        <w:rPr>
          <w:b w:val="0"/>
          <w:smallCaps/>
        </w:rPr>
      </w:pPr>
      <w:r w:rsidRPr="000D3FA6">
        <w:t xml:space="preserve">ČLEN 2 - ZAČETEK VELJAVNOSTI IN OBDOBJE IMPLEMENTIRANJA </w:t>
      </w:r>
      <w:r w:rsidRPr="000D3FA6">
        <w:rPr>
          <w:smallCaps/>
        </w:rPr>
        <w:t>POSEBNEGA SPORAZUMA</w:t>
      </w:r>
      <w:r w:rsidRPr="000D3FA6">
        <w:rPr>
          <w:b w:val="0"/>
          <w:smallCaps/>
        </w:rPr>
        <w:t xml:space="preserve"> </w:t>
      </w:r>
    </w:p>
    <w:p w14:paraId="273D4DD0" w14:textId="77777777" w:rsidR="00971CE4" w:rsidRPr="000D3FA6" w:rsidRDefault="00971CE4">
      <w:pPr>
        <w:pStyle w:val="BodyText"/>
        <w:rPr>
          <w:lang w:val="sl-SI"/>
        </w:rPr>
      </w:pPr>
    </w:p>
    <w:p w14:paraId="75DEF003" w14:textId="7064D620" w:rsidR="00971CE4" w:rsidRPr="000D3FA6" w:rsidRDefault="007B6E89">
      <w:pPr>
        <w:tabs>
          <w:tab w:val="left" w:pos="720"/>
        </w:tabs>
        <w:jc w:val="both"/>
      </w:pPr>
      <w:r w:rsidRPr="00F31E85">
        <w:rPr>
          <w:b/>
        </w:rPr>
        <w:t>2.1</w:t>
      </w:r>
      <w:r w:rsidRPr="000D3FA6">
        <w:t xml:space="preserve"> Posebni sporazum začne veljati na dan podpisa zadnje stranke.</w:t>
      </w:r>
    </w:p>
    <w:p w14:paraId="04AA9FED" w14:textId="77777777" w:rsidR="00971CE4" w:rsidRPr="000D3FA6" w:rsidRDefault="00971CE4">
      <w:pPr>
        <w:tabs>
          <w:tab w:val="left" w:pos="720"/>
        </w:tabs>
        <w:jc w:val="both"/>
      </w:pPr>
    </w:p>
    <w:p w14:paraId="20C5EBBD" w14:textId="04CD1A84" w:rsidR="00971CE4" w:rsidRPr="000D3FA6" w:rsidRDefault="00A331E5">
      <w:pPr>
        <w:tabs>
          <w:tab w:val="left" w:pos="720"/>
        </w:tabs>
        <w:jc w:val="both"/>
      </w:pPr>
      <w:r w:rsidRPr="00F31E85">
        <w:rPr>
          <w:b/>
        </w:rPr>
        <w:t>2.2</w:t>
      </w:r>
      <w:r>
        <w:t xml:space="preserve"> Aktivnost se izvaja </w:t>
      </w:r>
      <w:r w:rsidR="007B6E89" w:rsidRPr="000D3FA6">
        <w:t>[</w:t>
      </w:r>
      <w:r w:rsidR="007B6E89" w:rsidRPr="00F944CA">
        <w:rPr>
          <w:b/>
          <w:highlight w:val="yellow"/>
        </w:rPr>
        <w:t>vstavite krepko</w:t>
      </w:r>
      <w:r w:rsidR="00D84F96">
        <w:t xml:space="preserve">] </w:t>
      </w:r>
      <w:r w:rsidR="007B6E89" w:rsidRPr="00D84F96">
        <w:rPr>
          <w:b/>
        </w:rPr>
        <w:t>mesec</w:t>
      </w:r>
      <w:r w:rsidRPr="00D84F96">
        <w:rPr>
          <w:b/>
        </w:rPr>
        <w:t>ev</w:t>
      </w:r>
      <w:r w:rsidR="007B6E89" w:rsidRPr="000D3FA6">
        <w:t xml:space="preserve">, </w:t>
      </w:r>
      <w:r>
        <w:t>z začetkom</w:t>
      </w:r>
      <w:r w:rsidR="007B6E89" w:rsidRPr="000D3FA6">
        <w:t xml:space="preserve"> </w:t>
      </w:r>
      <w:r w:rsidR="007B6E89" w:rsidRPr="00D84F96">
        <w:rPr>
          <w:highlight w:val="yellow"/>
        </w:rPr>
        <w:t>[prvi dan [meseca] po datumu, ko zadnja stranka podpiše posebni sporazum] [vstavi datum]</w:t>
      </w:r>
      <w:r w:rsidR="002C2144">
        <w:t xml:space="preserve"> </w:t>
      </w:r>
      <w:r w:rsidR="002C2144" w:rsidRPr="002C2144">
        <w:rPr>
          <w:sz w:val="16"/>
          <w:szCs w:val="16"/>
        </w:rPr>
        <w:t>(</w:t>
      </w:r>
      <w:r w:rsidR="007B6E89" w:rsidRPr="002C2144">
        <w:rPr>
          <w:sz w:val="16"/>
          <w:szCs w:val="16"/>
        </w:rPr>
        <w:footnoteReference w:id="2"/>
      </w:r>
      <w:r w:rsidR="002C2144" w:rsidRPr="002C2144">
        <w:rPr>
          <w:sz w:val="16"/>
          <w:szCs w:val="16"/>
        </w:rPr>
        <w:t>)</w:t>
      </w:r>
      <w:r w:rsidR="007B6E89" w:rsidRPr="000D3FA6">
        <w:t xml:space="preserve">. </w:t>
      </w:r>
    </w:p>
    <w:p w14:paraId="63F184AE" w14:textId="77777777" w:rsidR="00971CE4" w:rsidRPr="000D3FA6" w:rsidRDefault="007B6E89">
      <w:pPr>
        <w:pStyle w:val="Heading1"/>
      </w:pPr>
      <w:r w:rsidRPr="000D3FA6">
        <w:t>ČLEN 3 - NAJVEČJI ZNESEK IN OBLIKA DODELITVE</w:t>
      </w:r>
    </w:p>
    <w:p w14:paraId="437BEAF1" w14:textId="61D94C0E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3.1 Najvišji znesek nepovratnih sredstev je [</w:t>
      </w:r>
      <w:r w:rsidRPr="00863CF8">
        <w:rPr>
          <w:sz w:val="24"/>
          <w:highlight w:val="yellow"/>
        </w:rPr>
        <w:t>vstavit</w:t>
      </w:r>
      <w:r w:rsidR="00B05CD2" w:rsidRPr="00863CF8">
        <w:rPr>
          <w:sz w:val="24"/>
          <w:highlight w:val="yellow"/>
        </w:rPr>
        <w:t>e</w:t>
      </w:r>
      <w:r w:rsidRPr="00863CF8">
        <w:rPr>
          <w:sz w:val="24"/>
          <w:highlight w:val="yellow"/>
        </w:rPr>
        <w:t xml:space="preserve"> znesek]</w:t>
      </w:r>
      <w:r w:rsidRPr="000D3FA6">
        <w:rPr>
          <w:sz w:val="24"/>
        </w:rPr>
        <w:t xml:space="preserve"> EUR.</w:t>
      </w:r>
    </w:p>
    <w:p w14:paraId="2AF7B1B6" w14:textId="1D0C22B8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 xml:space="preserve">3.2 </w:t>
      </w:r>
      <w:r w:rsidR="00B05CD2">
        <w:rPr>
          <w:sz w:val="24"/>
        </w:rPr>
        <w:t>Nepovratna sredstva so</w:t>
      </w:r>
      <w:r w:rsidRPr="000D3FA6">
        <w:rPr>
          <w:sz w:val="24"/>
        </w:rPr>
        <w:t xml:space="preserve"> v obliki prispevkov na enoto in povračila dejansko nastalih upravičenih stroškov v skladu z naslednjimi določbami:</w:t>
      </w:r>
    </w:p>
    <w:p w14:paraId="7B696AA1" w14:textId="77777777" w:rsidR="00971CE4" w:rsidRPr="000D3FA6" w:rsidRDefault="00971CE4">
      <w:pPr>
        <w:pStyle w:val="ListParagraph"/>
        <w:tabs>
          <w:tab w:val="left" w:pos="709"/>
        </w:tabs>
        <w:ind w:left="709" w:hanging="709"/>
        <w:jc w:val="both"/>
      </w:pPr>
    </w:p>
    <w:p w14:paraId="162CA8B0" w14:textId="7DB1240F" w:rsidR="00971CE4" w:rsidRPr="000D3FA6" w:rsidRDefault="00B05CD2">
      <w:pPr>
        <w:pStyle w:val="ListParagraph"/>
        <w:numPr>
          <w:ilvl w:val="0"/>
          <w:numId w:val="13"/>
        </w:numPr>
        <w:suppressAutoHyphens/>
        <w:ind w:left="1276"/>
        <w:contextualSpacing w:val="0"/>
        <w:jc w:val="both"/>
      </w:pPr>
      <w:r>
        <w:t>upravičeni stroški</w:t>
      </w:r>
      <w:r w:rsidR="007B6E89" w:rsidRPr="000D3FA6">
        <w:t>, kot je določeno v Prilogi III;</w:t>
      </w:r>
    </w:p>
    <w:p w14:paraId="4A5027B4" w14:textId="77777777" w:rsidR="00971CE4" w:rsidRPr="000D3FA6" w:rsidRDefault="007B6E89">
      <w:pPr>
        <w:pStyle w:val="ListParagraph"/>
        <w:numPr>
          <w:ilvl w:val="0"/>
          <w:numId w:val="13"/>
        </w:numPr>
        <w:suppressAutoHyphens/>
        <w:ind w:left="1276"/>
        <w:contextualSpacing w:val="0"/>
        <w:jc w:val="both"/>
      </w:pPr>
      <w:r w:rsidRPr="000D3FA6">
        <w:t>predvideni proračun, kot je določeno v Prilogi II;</w:t>
      </w:r>
    </w:p>
    <w:p w14:paraId="000FEDF9" w14:textId="0FC14591" w:rsidR="00971CE4" w:rsidRPr="000D3FA6" w:rsidRDefault="007B6E89">
      <w:pPr>
        <w:pStyle w:val="ListParagraph"/>
        <w:numPr>
          <w:ilvl w:val="0"/>
          <w:numId w:val="13"/>
        </w:numPr>
        <w:suppressAutoHyphens/>
        <w:ind w:left="1276"/>
        <w:contextualSpacing w:val="0"/>
        <w:jc w:val="both"/>
      </w:pPr>
      <w:r w:rsidRPr="000D3FA6">
        <w:t>finančna pravila,</w:t>
      </w:r>
      <w:r w:rsidR="00B05CD2">
        <w:t xml:space="preserve"> kot so</w:t>
      </w:r>
      <w:r w:rsidRPr="000D3FA6">
        <w:t xml:space="preserve"> določena v Prilogi III.</w:t>
      </w:r>
    </w:p>
    <w:p w14:paraId="3597B8F5" w14:textId="0F8597AD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3.3 Proračunski prenosi brez sprememb</w:t>
      </w:r>
    </w:p>
    <w:p w14:paraId="189F652D" w14:textId="77777777" w:rsidR="00971CE4" w:rsidRPr="000D3FA6" w:rsidRDefault="00971CE4">
      <w:pPr>
        <w:pStyle w:val="paragraph"/>
        <w:numPr>
          <w:ilvl w:val="0"/>
          <w:numId w:val="0"/>
        </w:numPr>
        <w:ind w:left="567" w:hanging="567"/>
      </w:pPr>
    </w:p>
    <w:p w14:paraId="35F91E7A" w14:textId="1BCD0682" w:rsidR="00971CE4" w:rsidRPr="000D3FA6" w:rsidRDefault="00D11230">
      <w:pPr>
        <w:pStyle w:val="paragraph"/>
        <w:numPr>
          <w:ilvl w:val="0"/>
          <w:numId w:val="0"/>
        </w:numPr>
        <w:ind w:left="284"/>
      </w:pPr>
      <w:r>
        <w:t>Partnerju</w:t>
      </w:r>
      <w:r w:rsidR="00F944CA">
        <w:t xml:space="preserve"> </w:t>
      </w:r>
      <w:r w:rsidR="007B6E89" w:rsidRPr="000D3FA6">
        <w:t xml:space="preserve">je dovoljeno prenesti sredstva med različne proračunske kategorije, ki povzročijo spremembo ocenjenega proračuna in povezanih </w:t>
      </w:r>
      <w:r w:rsidR="006A52B8">
        <w:t>akti</w:t>
      </w:r>
      <w:r w:rsidR="007B6E89" w:rsidRPr="000D3FA6">
        <w:t>vnosti, opisanih v Prilogi II, ne da bi zahtevali spremembo posebnega sporazuma, kot je določeno v členu II.13,</w:t>
      </w:r>
      <w:r w:rsidR="00B05CD2">
        <w:t xml:space="preserve"> </w:t>
      </w:r>
      <w:r w:rsidR="007B6E89" w:rsidRPr="000D3FA6">
        <w:t>pod pogojem, da:</w:t>
      </w:r>
    </w:p>
    <w:p w14:paraId="311311D4" w14:textId="77777777" w:rsidR="00971CE4" w:rsidRPr="000D3FA6" w:rsidRDefault="00971CE4">
      <w:pPr>
        <w:pStyle w:val="paragraph"/>
        <w:numPr>
          <w:ilvl w:val="0"/>
          <w:numId w:val="0"/>
        </w:numPr>
        <w:ind w:left="284"/>
      </w:pPr>
    </w:p>
    <w:p w14:paraId="439FADE2" w14:textId="74D9E154" w:rsidR="00971CE4" w:rsidRPr="000D3FA6" w:rsidRDefault="007B6E89">
      <w:pPr>
        <w:pStyle w:val="paragraph"/>
        <w:numPr>
          <w:ilvl w:val="0"/>
          <w:numId w:val="17"/>
        </w:numPr>
        <w:rPr>
          <w:b/>
        </w:rPr>
      </w:pPr>
      <w:r w:rsidRPr="000D3FA6">
        <w:rPr>
          <w:rFonts w:eastAsia="Calibri"/>
          <w:snapToGrid/>
        </w:rPr>
        <w:t>se projekt izvaja v skladu z odobreno prijavo projekta in splošnimi cilji, opisanimi v Prilogi II,</w:t>
      </w:r>
      <w:r w:rsidRPr="000D3FA6">
        <w:rPr>
          <w:color w:val="1F497D"/>
        </w:rPr>
        <w:t xml:space="preserve"> </w:t>
      </w:r>
    </w:p>
    <w:p w14:paraId="5FDE95F6" w14:textId="77777777" w:rsidR="00971CE4" w:rsidRPr="000D3FA6" w:rsidRDefault="00971CE4">
      <w:pPr>
        <w:pStyle w:val="paragraph"/>
        <w:numPr>
          <w:ilvl w:val="0"/>
          <w:numId w:val="0"/>
        </w:numPr>
        <w:ind w:left="644"/>
        <w:rPr>
          <w:b/>
        </w:rPr>
      </w:pPr>
    </w:p>
    <w:p w14:paraId="792BD68E" w14:textId="77777777" w:rsidR="00971CE4" w:rsidRPr="000D3FA6" w:rsidRDefault="007B6E89">
      <w:pPr>
        <w:pStyle w:val="paragraph"/>
        <w:numPr>
          <w:ilvl w:val="0"/>
          <w:numId w:val="17"/>
        </w:numPr>
        <w:rPr>
          <w:rFonts w:eastAsia="Calibri"/>
          <w:snapToGrid/>
        </w:rPr>
      </w:pPr>
      <w:r w:rsidRPr="000D3FA6">
        <w:rPr>
          <w:rFonts w:eastAsia="Calibri"/>
          <w:snapToGrid/>
        </w:rPr>
        <w:lastRenderedPageBreak/>
        <w:t>in se upoštevajo naslednja posebna pravila:</w:t>
      </w:r>
    </w:p>
    <w:p w14:paraId="21D2FDC6" w14:textId="77777777" w:rsidR="00971CE4" w:rsidRPr="000D3FA6" w:rsidRDefault="00971CE4">
      <w:pPr>
        <w:jc w:val="both"/>
        <w:rPr>
          <w:highlight w:val="green"/>
        </w:rPr>
      </w:pPr>
    </w:p>
    <w:p w14:paraId="386AA2DA" w14:textId="2CA70460" w:rsidR="00971CE4" w:rsidRPr="000D3FA6" w:rsidRDefault="00D11230">
      <w:pPr>
        <w:numPr>
          <w:ilvl w:val="0"/>
          <w:numId w:val="15"/>
        </w:numPr>
        <w:suppressAutoHyphens/>
        <w:ind w:left="426"/>
        <w:jc w:val="both"/>
      </w:pPr>
      <w:r>
        <w:t>Partnerju</w:t>
      </w:r>
      <w:r w:rsidR="007B6E89" w:rsidRPr="000D3FA6">
        <w:t xml:space="preserve"> je dovoljeno prenesti do 100 % dodeljenih sredstev</w:t>
      </w:r>
      <w:r w:rsidR="007B6E89" w:rsidRPr="000D3FA6">
        <w:rPr>
          <w:color w:val="FF0000"/>
        </w:rPr>
        <w:t xml:space="preserve"> </w:t>
      </w:r>
      <w:r w:rsidR="00A3560E" w:rsidRPr="00A3560E">
        <w:rPr>
          <w:color w:val="000000" w:themeColor="text1"/>
        </w:rPr>
        <w:t>za</w:t>
      </w:r>
      <w:r w:rsidR="00A3560E">
        <w:rPr>
          <w:color w:val="FF0000"/>
        </w:rPr>
        <w:t xml:space="preserve"> </w:t>
      </w:r>
      <w:r w:rsidR="007B6E89" w:rsidRPr="000D3FA6">
        <w:t>potovanja, organizacijsk</w:t>
      </w:r>
      <w:r w:rsidR="00A3560E">
        <w:t>o</w:t>
      </w:r>
      <w:r w:rsidR="007B6E89" w:rsidRPr="000D3FA6">
        <w:t xml:space="preserve"> podpor</w:t>
      </w:r>
      <w:r w:rsidR="00A3560E">
        <w:t>o</w:t>
      </w:r>
      <w:r w:rsidR="007B6E89" w:rsidRPr="000D3FA6">
        <w:rPr>
          <w:i/>
        </w:rPr>
        <w:t xml:space="preserve">, </w:t>
      </w:r>
      <w:r w:rsidR="007B6E89" w:rsidRPr="000D3FA6">
        <w:t>žepnin</w:t>
      </w:r>
      <w:r w:rsidR="00A3560E">
        <w:t>o</w:t>
      </w:r>
      <w:r w:rsidR="007B6E89" w:rsidRPr="000D3FA6">
        <w:t xml:space="preserve"> in jezikovn</w:t>
      </w:r>
      <w:r w:rsidR="00A3560E">
        <w:t>o</w:t>
      </w:r>
      <w:r w:rsidR="007B6E89" w:rsidRPr="000D3FA6">
        <w:t xml:space="preserve"> podpor</w:t>
      </w:r>
      <w:r w:rsidR="00A3560E">
        <w:t>o</w:t>
      </w:r>
      <w:r w:rsidR="007B6E89" w:rsidRPr="000D3FA6">
        <w:t xml:space="preserve"> med temi proračunskimi kategorijami ali podporo za vključevanje kategorij;</w:t>
      </w:r>
    </w:p>
    <w:p w14:paraId="6DF64A20" w14:textId="77777777" w:rsidR="00971CE4" w:rsidRPr="000D3FA6" w:rsidRDefault="00971CE4">
      <w:pPr>
        <w:ind w:left="426"/>
        <w:jc w:val="both"/>
      </w:pPr>
    </w:p>
    <w:p w14:paraId="1C86B207" w14:textId="1ED31FE7" w:rsidR="00971CE4" w:rsidRPr="000D3FA6" w:rsidRDefault="00D11230">
      <w:pPr>
        <w:numPr>
          <w:ilvl w:val="0"/>
          <w:numId w:val="15"/>
        </w:numPr>
        <w:suppressAutoHyphens/>
        <w:ind w:left="426"/>
        <w:jc w:val="both"/>
      </w:pPr>
      <w:r>
        <w:t>Partnerju</w:t>
      </w:r>
      <w:r w:rsidR="007B6E89" w:rsidRPr="000D3FA6">
        <w:t xml:space="preserve"> je dovoljeno prenesti do 10 % sredstev, dodeljenih za kategorijo </w:t>
      </w:r>
      <w:r w:rsidR="00A3560E">
        <w:t xml:space="preserve">izrednih stroškov </w:t>
      </w:r>
      <w:r w:rsidR="007B6E89" w:rsidRPr="000D3FA6">
        <w:t>proračuna v katero koli drugo proračunsko kategorijo.</w:t>
      </w:r>
    </w:p>
    <w:p w14:paraId="0965C15D" w14:textId="71918F0E" w:rsidR="00971CE4" w:rsidRPr="000D3FA6" w:rsidRDefault="007B6E89">
      <w:pPr>
        <w:pStyle w:val="Heading1"/>
        <w:jc w:val="both"/>
        <w:rPr>
          <w:color w:val="0070C0"/>
        </w:rPr>
      </w:pPr>
      <w:r w:rsidRPr="000D3FA6">
        <w:t>ČLEN 4 - POROČANJE, ZAHTEVA ZA PLAČILA IN PODPORNA DOKUMENTACIJA</w:t>
      </w:r>
    </w:p>
    <w:p w14:paraId="680F93BC" w14:textId="67D7E802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4.1 Obdobja poročanja</w:t>
      </w:r>
    </w:p>
    <w:p w14:paraId="38A3717C" w14:textId="77777777" w:rsidR="00971CE4" w:rsidRPr="000D3FA6" w:rsidRDefault="00971CE4"/>
    <w:p w14:paraId="714561E2" w14:textId="77777777" w:rsidR="00971CE4" w:rsidRPr="000D3FA6" w:rsidRDefault="007B6E89">
      <w:pPr>
        <w:jc w:val="both"/>
      </w:pPr>
      <w:r w:rsidRPr="000D3FA6">
        <w:rPr>
          <w:i/>
        </w:rPr>
        <w:t>Aktivnost</w:t>
      </w:r>
      <w:r w:rsidRPr="000D3FA6">
        <w:t xml:space="preserve"> je razdeljena na naslednja </w:t>
      </w:r>
      <w:r w:rsidRPr="000D3FA6">
        <w:rPr>
          <w:i/>
        </w:rPr>
        <w:t>obdobja poročanja</w:t>
      </w:r>
      <w:r w:rsidRPr="000D3FA6">
        <w:t>:</w:t>
      </w:r>
    </w:p>
    <w:p w14:paraId="0DC91204" w14:textId="35E70C08" w:rsidR="00971CE4" w:rsidRPr="000D3FA6" w:rsidRDefault="007B6E89">
      <w:pPr>
        <w:jc w:val="both"/>
      </w:pPr>
      <w:r w:rsidRPr="000D3FA6">
        <w:t xml:space="preserve">               </w:t>
      </w:r>
    </w:p>
    <w:p w14:paraId="139324D1" w14:textId="13D889B3" w:rsidR="00971CE4" w:rsidRPr="000D3FA6" w:rsidRDefault="007B6E89">
      <w:pPr>
        <w:ind w:left="851"/>
        <w:jc w:val="both"/>
      </w:pPr>
      <w:r w:rsidRPr="000D3FA6">
        <w:t xml:space="preserve">- </w:t>
      </w:r>
      <w:r w:rsidR="004F5DC4">
        <w:t>Obdobje poročanja: od 1. januarja 2019</w:t>
      </w:r>
      <w:r w:rsidRPr="000D3FA6">
        <w:t xml:space="preserve"> do </w:t>
      </w:r>
      <w:r w:rsidR="004F5DC4">
        <w:t>30. junija 2020.</w:t>
      </w:r>
    </w:p>
    <w:p w14:paraId="6B075639" w14:textId="1CAD0F1E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4.2 Zahtevek</w:t>
      </w:r>
      <w:r w:rsidR="00C02443">
        <w:rPr>
          <w:sz w:val="24"/>
        </w:rPr>
        <w:t>[ki</w:t>
      </w:r>
      <w:r w:rsidR="00C02443" w:rsidRPr="000D3FA6">
        <w:rPr>
          <w:sz w:val="24"/>
        </w:rPr>
        <w:t xml:space="preserve">] </w:t>
      </w:r>
      <w:r w:rsidRPr="000D3FA6">
        <w:rPr>
          <w:sz w:val="24"/>
        </w:rPr>
        <w:t>za drugo [in] [,] [tretj</w:t>
      </w:r>
      <w:r w:rsidR="00C02443">
        <w:rPr>
          <w:sz w:val="24"/>
        </w:rPr>
        <w:t>e</w:t>
      </w:r>
      <w:r w:rsidRPr="000D3FA6">
        <w:rPr>
          <w:sz w:val="24"/>
        </w:rPr>
        <w:t>] [in] [,] [četrt</w:t>
      </w:r>
      <w:r w:rsidR="00C02443">
        <w:rPr>
          <w:sz w:val="24"/>
        </w:rPr>
        <w:t>o] [enako za nadaljnje] plačilo</w:t>
      </w:r>
      <w:r w:rsidRPr="000D3FA6">
        <w:rPr>
          <w:sz w:val="24"/>
        </w:rPr>
        <w:t>[</w:t>
      </w:r>
      <w:r w:rsidR="00C02443">
        <w:rPr>
          <w:sz w:val="24"/>
        </w:rPr>
        <w:t>a</w:t>
      </w:r>
      <w:r w:rsidRPr="000D3FA6">
        <w:rPr>
          <w:sz w:val="24"/>
        </w:rPr>
        <w:t>] pred</w:t>
      </w:r>
      <w:r w:rsidR="00C02443">
        <w:rPr>
          <w:sz w:val="24"/>
        </w:rPr>
        <w:t>hodnega financiranja</w:t>
      </w:r>
      <w:r w:rsidRPr="000D3FA6">
        <w:rPr>
          <w:sz w:val="24"/>
        </w:rPr>
        <w:t xml:space="preserve"> in spremne dokumente</w:t>
      </w:r>
    </w:p>
    <w:p w14:paraId="0EFC1122" w14:textId="247CFEDF" w:rsidR="00971CE4" w:rsidRPr="000D3FA6" w:rsidRDefault="007B6E89">
      <w:pPr>
        <w:spacing w:before="240"/>
        <w:jc w:val="both"/>
      </w:pPr>
      <w:r w:rsidRPr="000D3FA6">
        <w:t>Se ne uporablja</w:t>
      </w:r>
    </w:p>
    <w:p w14:paraId="20B46942" w14:textId="38855523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4.3 Zahtevek</w:t>
      </w:r>
      <w:r w:rsidR="00C02443">
        <w:rPr>
          <w:sz w:val="24"/>
        </w:rPr>
        <w:t>[ki</w:t>
      </w:r>
      <w:r w:rsidR="00C02443" w:rsidRPr="000D3FA6">
        <w:rPr>
          <w:sz w:val="24"/>
        </w:rPr>
        <w:t xml:space="preserve">] </w:t>
      </w:r>
      <w:r w:rsidRPr="000D3FA6">
        <w:rPr>
          <w:sz w:val="24"/>
        </w:rPr>
        <w:t>za vmesno</w:t>
      </w:r>
      <w:r w:rsidR="00C02443" w:rsidRPr="000D3FA6">
        <w:rPr>
          <w:sz w:val="24"/>
        </w:rPr>
        <w:t>[</w:t>
      </w:r>
      <w:r w:rsidR="00C02443">
        <w:rPr>
          <w:sz w:val="24"/>
        </w:rPr>
        <w:t>a</w:t>
      </w:r>
      <w:r w:rsidR="00C02443" w:rsidRPr="000D3FA6">
        <w:rPr>
          <w:sz w:val="24"/>
        </w:rPr>
        <w:t xml:space="preserve">] </w:t>
      </w:r>
      <w:r w:rsidRPr="000D3FA6">
        <w:rPr>
          <w:sz w:val="24"/>
        </w:rPr>
        <w:t>plačilo</w:t>
      </w:r>
      <w:r w:rsidR="00C02443" w:rsidRPr="000D3FA6">
        <w:rPr>
          <w:sz w:val="24"/>
        </w:rPr>
        <w:t>[</w:t>
      </w:r>
      <w:r w:rsidR="00C02443">
        <w:rPr>
          <w:sz w:val="24"/>
        </w:rPr>
        <w:t>a</w:t>
      </w:r>
      <w:r w:rsidR="00C02443" w:rsidRPr="000D3FA6">
        <w:rPr>
          <w:sz w:val="24"/>
        </w:rPr>
        <w:t xml:space="preserve">] </w:t>
      </w:r>
      <w:r w:rsidRPr="000D3FA6">
        <w:rPr>
          <w:sz w:val="24"/>
        </w:rPr>
        <w:t xml:space="preserve"> in dokazila</w:t>
      </w:r>
    </w:p>
    <w:p w14:paraId="00075D3B" w14:textId="260241FB" w:rsidR="00971CE4" w:rsidRPr="000D3FA6" w:rsidRDefault="007B6E89">
      <w:pPr>
        <w:spacing w:before="240"/>
        <w:jc w:val="both"/>
      </w:pPr>
      <w:r w:rsidRPr="000D3FA6">
        <w:t>Se ne uporablja</w:t>
      </w:r>
    </w:p>
    <w:p w14:paraId="0291BC2C" w14:textId="6C615C1D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 xml:space="preserve">4.4 Končno poročilo in zahtevek za plačilo preostalega zneska  </w:t>
      </w:r>
    </w:p>
    <w:p w14:paraId="7E70470F" w14:textId="2BE48A83" w:rsidR="00971CE4" w:rsidRPr="000D3FA6" w:rsidRDefault="00D11230">
      <w:pPr>
        <w:spacing w:before="240"/>
        <w:jc w:val="both"/>
      </w:pPr>
      <w:r>
        <w:t xml:space="preserve">Partner </w:t>
      </w:r>
      <w:r w:rsidR="007B6E89" w:rsidRPr="000D3FA6">
        <w:t>mora predložiti zahtevek za plačilo preostalega zneska v [60] [ali</w:t>
      </w:r>
      <w:r w:rsidR="00C02443">
        <w:t xml:space="preserve"> krajšem obdobju, ki ga določi</w:t>
      </w:r>
      <w:r w:rsidR="007B6E89" w:rsidRPr="000D3FA6">
        <w:t xml:space="preserve"> NA] koledarskih dni po koncu zadnjega obdobja poročanja. Partner mora izpolniti končno poročilo o izvajanju aktivnosti. To poročilo mora vsebovati informacije, ki so potrebne za utemeljitev zahtevanega zneska na podlag</w:t>
      </w:r>
      <w:r w:rsidR="00C02443">
        <w:t>i prispevkov na enoto, kadar so nepo</w:t>
      </w:r>
      <w:r w:rsidR="007B6E89" w:rsidRPr="000D3FA6">
        <w:t>v</w:t>
      </w:r>
      <w:r w:rsidR="00C02443">
        <w:t>ratna sredstva v</w:t>
      </w:r>
      <w:r w:rsidR="007B6E89" w:rsidRPr="000D3FA6">
        <w:t xml:space="preserve"> obliki povračila prispevkov na enoto ali upravičenih stroškov, ki so dejansko nastali v skladu s Prilogo III.] </w:t>
      </w:r>
    </w:p>
    <w:p w14:paraId="34630F00" w14:textId="77777777" w:rsidR="00971CE4" w:rsidRPr="000D3FA6" w:rsidRDefault="00971CE4">
      <w:pPr>
        <w:jc w:val="both"/>
      </w:pPr>
    </w:p>
    <w:p w14:paraId="574332EA" w14:textId="461E2CC6" w:rsidR="00971CE4" w:rsidRPr="000D3FA6" w:rsidRDefault="007B6E89">
      <w:pPr>
        <w:jc w:val="both"/>
      </w:pPr>
      <w:r w:rsidRPr="000D3FA6">
        <w:t xml:space="preserve">Končno poročilo se šteje </w:t>
      </w:r>
      <w:r w:rsidR="00C02443">
        <w:t xml:space="preserve">kot </w:t>
      </w:r>
      <w:r w:rsidR="00C02443" w:rsidRPr="00B45F98">
        <w:t xml:space="preserve">zahteva </w:t>
      </w:r>
      <w:r w:rsidR="00D11230">
        <w:t>partnerja</w:t>
      </w:r>
      <w:r w:rsidRPr="00B45F98">
        <w:t xml:space="preserve"> za</w:t>
      </w:r>
      <w:r w:rsidRPr="000D3FA6">
        <w:t xml:space="preserve"> plačilo preostanka </w:t>
      </w:r>
      <w:r w:rsidR="00C02443">
        <w:t>nepovratnih sredstev</w:t>
      </w:r>
      <w:r w:rsidRPr="000D3FA6">
        <w:t>.</w:t>
      </w:r>
    </w:p>
    <w:p w14:paraId="48051286" w14:textId="77777777" w:rsidR="00971CE4" w:rsidRPr="000D3FA6" w:rsidRDefault="00971CE4">
      <w:pPr>
        <w:jc w:val="both"/>
      </w:pPr>
    </w:p>
    <w:p w14:paraId="05A47E84" w14:textId="2173C009" w:rsidR="00971CE4" w:rsidRPr="000D3FA6" w:rsidRDefault="00D11230">
      <w:pPr>
        <w:jc w:val="both"/>
      </w:pPr>
      <w:r>
        <w:rPr>
          <w:shd w:val="clear" w:color="auto" w:fill="FFFFFF" w:themeFill="background1"/>
        </w:rPr>
        <w:t>Partner</w:t>
      </w:r>
      <w:r w:rsidR="007B6E89" w:rsidRPr="00B45F98">
        <w:rPr>
          <w:shd w:val="clear" w:color="auto" w:fill="FFFFFF" w:themeFill="background1"/>
        </w:rPr>
        <w:t xml:space="preserve"> </w:t>
      </w:r>
      <w:r w:rsidR="007B6E89" w:rsidRPr="000D3FA6">
        <w:t xml:space="preserve">mora potrditi, da so </w:t>
      </w:r>
      <w:r w:rsidR="007B6E89" w:rsidRPr="000D3FA6">
        <w:rPr>
          <w:color w:val="000000"/>
        </w:rPr>
        <w:t xml:space="preserve">informacije v zahtevku za plačilo preostalega zneska </w:t>
      </w:r>
      <w:r w:rsidR="00A1596D">
        <w:rPr>
          <w:color w:val="000000"/>
        </w:rPr>
        <w:t>po</w:t>
      </w:r>
      <w:r w:rsidR="007B6E89" w:rsidRPr="000D3FA6">
        <w:rPr>
          <w:color w:val="000000"/>
        </w:rPr>
        <w:t>polne, zanesljive in resnične. Prav tako mora potrditi, da se nastali stroški lahko štejejo za upravičene v skladu s posebno pogodbo</w:t>
      </w:r>
      <w:r w:rsidR="007B6E89" w:rsidRPr="000D3FA6">
        <w:t xml:space="preserve"> </w:t>
      </w:r>
      <w:r w:rsidR="007B6E89" w:rsidRPr="000D3FA6">
        <w:rPr>
          <w:color w:val="000000"/>
        </w:rPr>
        <w:t xml:space="preserve">in da je zahtevek za plačilo utemeljen z ustreznimi dokazili, ki jih je mogoče predložiti </w:t>
      </w:r>
      <w:r w:rsidR="007B6E89" w:rsidRPr="000D3FA6">
        <w:t>v okviru pregledov ali revizij, opisanih v členu II.27 splošnih pogojev.</w:t>
      </w:r>
      <w:r w:rsidR="007B6E89" w:rsidRPr="000D3FA6">
        <w:rPr>
          <w:color w:val="000000"/>
        </w:rPr>
        <w:t xml:space="preserve"> </w:t>
      </w:r>
    </w:p>
    <w:p w14:paraId="1B0E4E11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4.5 Informacije o nastalih kumulativnih izdatkih</w:t>
      </w:r>
    </w:p>
    <w:p w14:paraId="25FC17C1" w14:textId="7008CCA8" w:rsidR="00971CE4" w:rsidRPr="000D3FA6" w:rsidRDefault="007B6E89">
      <w:pPr>
        <w:spacing w:before="240"/>
        <w:jc w:val="both"/>
      </w:pPr>
      <w:r w:rsidRPr="000D3FA6">
        <w:t>Se ne uporablja</w:t>
      </w:r>
    </w:p>
    <w:p w14:paraId="53280647" w14:textId="533BBC67" w:rsidR="00971CE4" w:rsidRDefault="007B6E89">
      <w:pPr>
        <w:pStyle w:val="Heading2"/>
        <w:rPr>
          <w:sz w:val="24"/>
        </w:rPr>
      </w:pPr>
      <w:r w:rsidRPr="000D3FA6">
        <w:rPr>
          <w:sz w:val="24"/>
        </w:rPr>
        <w:lastRenderedPageBreak/>
        <w:t>4.6 Valuta za zahtevke za plačilo in konverzijo v evre</w:t>
      </w:r>
    </w:p>
    <w:p w14:paraId="35B79E40" w14:textId="77777777" w:rsidR="00D37E78" w:rsidRPr="00D37E78" w:rsidRDefault="00D37E78" w:rsidP="00D37E78">
      <w:pPr>
        <w:rPr>
          <w:lang w:eastAsia="en-US"/>
        </w:rPr>
      </w:pPr>
    </w:p>
    <w:p w14:paraId="1C3889B3" w14:textId="77777777" w:rsidR="00D37E78" w:rsidRDefault="00D37E78" w:rsidP="00D37E78">
      <w:pPr>
        <w:rPr>
          <w:lang w:eastAsia="en-US"/>
        </w:rPr>
      </w:pPr>
      <w:r>
        <w:rPr>
          <w:lang w:eastAsia="en-US"/>
        </w:rPr>
        <w:t>Zahtevek za plačilo mora biti pripravljen v evrih.</w:t>
      </w:r>
    </w:p>
    <w:p w14:paraId="40076953" w14:textId="77777777" w:rsidR="00D37E78" w:rsidRDefault="00D37E78" w:rsidP="00D37E78">
      <w:pPr>
        <w:rPr>
          <w:lang w:eastAsia="en-US"/>
        </w:rPr>
      </w:pPr>
    </w:p>
    <w:p w14:paraId="7760720F" w14:textId="5FD2065D" w:rsidR="00D37E78" w:rsidRDefault="00D11230" w:rsidP="00D37E78">
      <w:pPr>
        <w:rPr>
          <w:lang w:eastAsia="en-US"/>
        </w:rPr>
      </w:pPr>
      <w:r>
        <w:rPr>
          <w:lang w:eastAsia="en-US"/>
        </w:rPr>
        <w:t>Partner</w:t>
      </w:r>
      <w:r w:rsidR="00D37E78">
        <w:rPr>
          <w:lang w:eastAsia="en-US"/>
        </w:rPr>
        <w:t xml:space="preserve"> s splošnimi računi v valuti, ki ni evro, mora stroške, nastale v drugi valuti, pretvoriti v evre po povprečju dnevnih menjalnih tečajev, objavljenih v seriji C Uradnega lista Evropske unije, določenih v ustreznem obdobju poročanja. (na voljo na </w:t>
      </w:r>
      <w:r w:rsidR="00CE2009">
        <w:fldChar w:fldCharType="begin"/>
      </w:r>
      <w:r w:rsidR="00CE2009">
        <w:instrText xml:space="preserve"> HYPERLINK "http://www.ecb.europa.eu/stats/exchange/eurofxref/html/index.en.html" </w:instrText>
      </w:r>
      <w:r w:rsidR="00CE2009">
        <w:fldChar w:fldCharType="separate"/>
      </w:r>
      <w:r w:rsidR="00D37E78" w:rsidRPr="00600122">
        <w:rPr>
          <w:rStyle w:val="Hyperlink"/>
          <w:lang w:eastAsia="en-US"/>
        </w:rPr>
        <w:t>http://www.ecb.europa.eu/stats/exchange/eurofxref/html/index.en.html</w:t>
      </w:r>
      <w:r w:rsidR="00CE2009">
        <w:rPr>
          <w:rStyle w:val="Hyperlink"/>
          <w:lang w:eastAsia="en-US"/>
        </w:rPr>
        <w:fldChar w:fldCharType="end"/>
      </w:r>
      <w:r w:rsidR="00D37E78">
        <w:rPr>
          <w:lang w:eastAsia="en-US"/>
        </w:rPr>
        <w:t>).</w:t>
      </w:r>
    </w:p>
    <w:p w14:paraId="4A04B2A5" w14:textId="77777777" w:rsidR="00D37E78" w:rsidRDefault="00D37E78" w:rsidP="00D37E78">
      <w:pPr>
        <w:rPr>
          <w:lang w:eastAsia="en-US"/>
        </w:rPr>
      </w:pPr>
    </w:p>
    <w:p w14:paraId="31462DE6" w14:textId="101B596B" w:rsidR="00D37E78" w:rsidRDefault="00D11230" w:rsidP="00D37E78">
      <w:pPr>
        <w:rPr>
          <w:lang w:eastAsia="en-US"/>
        </w:rPr>
      </w:pPr>
      <w:r>
        <w:rPr>
          <w:lang w:eastAsia="en-US"/>
        </w:rPr>
        <w:t>Partner</w:t>
      </w:r>
      <w:r w:rsidR="00D37E78">
        <w:rPr>
          <w:lang w:eastAsia="en-US"/>
        </w:rPr>
        <w:t>, čigar glavna knjiga je v evrih, mora stroške, ki nastanejo v drugi valuti, preračunati v evre v skladu s svojimi običajnimi računovodskimi praksami.</w:t>
      </w:r>
    </w:p>
    <w:p w14:paraId="66A68030" w14:textId="77777777" w:rsidR="00D37E78" w:rsidRPr="00D37E78" w:rsidRDefault="00D37E78" w:rsidP="00D37E78">
      <w:pPr>
        <w:rPr>
          <w:lang w:eastAsia="en-US"/>
        </w:rPr>
      </w:pPr>
    </w:p>
    <w:p w14:paraId="7C86F4B8" w14:textId="7C82418C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 xml:space="preserve">4.7 Jezik zahtevkov za plačila in poročila </w:t>
      </w:r>
    </w:p>
    <w:p w14:paraId="6067267C" w14:textId="77777777" w:rsidR="00971CE4" w:rsidRPr="000D3FA6" w:rsidRDefault="00971CE4">
      <w:pPr>
        <w:jc w:val="both"/>
        <w:rPr>
          <w:b/>
          <w:i/>
        </w:rPr>
      </w:pPr>
    </w:p>
    <w:p w14:paraId="3C2DA229" w14:textId="34EFBE98" w:rsidR="00971CE4" w:rsidRPr="000D3FA6" w:rsidRDefault="007B6E89">
      <w:pPr>
        <w:spacing w:line="276" w:lineRule="auto"/>
        <w:jc w:val="both"/>
        <w:rPr>
          <w:rFonts w:eastAsia="Calibri"/>
        </w:rPr>
      </w:pPr>
      <w:r w:rsidRPr="000D3FA6">
        <w:rPr>
          <w:rFonts w:eastAsia="Calibri"/>
        </w:rPr>
        <w:t>Vs</w:t>
      </w:r>
      <w:r w:rsidR="00B2344A">
        <w:rPr>
          <w:rFonts w:eastAsia="Calibri"/>
        </w:rPr>
        <w:t>i</w:t>
      </w:r>
      <w:r w:rsidRPr="000D3FA6">
        <w:rPr>
          <w:rFonts w:eastAsia="Calibri"/>
        </w:rPr>
        <w:t xml:space="preserve"> zahtev</w:t>
      </w:r>
      <w:r w:rsidR="00B2344A">
        <w:rPr>
          <w:rFonts w:eastAsia="Calibri"/>
        </w:rPr>
        <w:t>ki</w:t>
      </w:r>
      <w:r w:rsidRPr="000D3FA6">
        <w:rPr>
          <w:rFonts w:eastAsia="Calibri"/>
        </w:rPr>
        <w:t xml:space="preserve"> za plačila in poročila morajo biti predložen</w:t>
      </w:r>
      <w:r w:rsidR="00B2344A">
        <w:rPr>
          <w:rFonts w:eastAsia="Calibri"/>
        </w:rPr>
        <w:t>i</w:t>
      </w:r>
      <w:r w:rsidRPr="000D3FA6">
        <w:rPr>
          <w:rFonts w:eastAsia="Calibri"/>
        </w:rPr>
        <w:t xml:space="preserve"> v</w:t>
      </w:r>
      <w:r w:rsidR="00D37E78">
        <w:rPr>
          <w:rFonts w:eastAsia="Calibri"/>
        </w:rPr>
        <w:t xml:space="preserve"> slovenskem jeziku</w:t>
      </w:r>
      <w:r w:rsidRPr="000D3FA6">
        <w:rPr>
          <w:rFonts w:eastAsia="Calibri"/>
        </w:rPr>
        <w:t>.</w:t>
      </w:r>
    </w:p>
    <w:p w14:paraId="71357205" w14:textId="5AD25043" w:rsidR="00971CE4" w:rsidRPr="000D3FA6" w:rsidRDefault="007B6E89">
      <w:pPr>
        <w:pStyle w:val="Heading1"/>
        <w:rPr>
          <w:b w:val="0"/>
        </w:rPr>
      </w:pPr>
      <w:r w:rsidRPr="000D3FA6">
        <w:t>ČLEN 5 - PLAČILA IN PLAČILNA UREDITEV</w:t>
      </w:r>
      <w:r w:rsidRPr="000D3FA6">
        <w:rPr>
          <w:rStyle w:val="FootnoteReference"/>
          <w:rFonts w:ascii="Times New Roman" w:hAnsi="Times New Roman"/>
          <w:b w:val="0"/>
          <w:sz w:val="24"/>
        </w:rPr>
        <w:footnoteReference w:id="3"/>
      </w:r>
    </w:p>
    <w:p w14:paraId="2A6426F3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5.1 Izplačila</w:t>
      </w:r>
    </w:p>
    <w:p w14:paraId="5F36F8CA" w14:textId="77777777" w:rsidR="00971CE4" w:rsidRPr="000D3FA6" w:rsidRDefault="00971CE4">
      <w:pPr>
        <w:jc w:val="both"/>
      </w:pPr>
    </w:p>
    <w:p w14:paraId="5AF34648" w14:textId="01671FA9" w:rsidR="00971CE4" w:rsidRPr="000D3FA6" w:rsidRDefault="007B6E89">
      <w:pPr>
        <w:spacing w:line="276" w:lineRule="auto"/>
        <w:jc w:val="both"/>
        <w:rPr>
          <w:rFonts w:eastAsia="Calibri"/>
        </w:rPr>
      </w:pPr>
      <w:r w:rsidRPr="000D3FA6">
        <w:rPr>
          <w:rFonts w:eastAsia="Calibri"/>
        </w:rPr>
        <w:t>NA mora partnerju izplačati naslednja plačila:</w:t>
      </w:r>
    </w:p>
    <w:p w14:paraId="41DC1D62" w14:textId="701C0E34" w:rsidR="00971CE4" w:rsidRPr="000D3FA6" w:rsidRDefault="007B6E89">
      <w:pPr>
        <w:spacing w:after="200" w:line="276" w:lineRule="auto"/>
        <w:ind w:left="238" w:hanging="238"/>
        <w:jc w:val="both"/>
        <w:rPr>
          <w:rFonts w:eastAsia="Calibri"/>
        </w:rPr>
      </w:pPr>
      <w:r w:rsidRPr="000D3FA6">
        <w:rPr>
          <w:rFonts w:eastAsia="Calibri"/>
        </w:rPr>
        <w:t>- plačilo predhodnega financiranja;</w:t>
      </w:r>
    </w:p>
    <w:p w14:paraId="4C056C67" w14:textId="11E57662" w:rsidR="00971CE4" w:rsidRPr="000D3FA6" w:rsidRDefault="007B6E89">
      <w:pPr>
        <w:spacing w:after="200" w:line="276" w:lineRule="auto"/>
        <w:ind w:left="238" w:hanging="238"/>
        <w:jc w:val="both"/>
        <w:rPr>
          <w:rFonts w:eastAsia="Calibri"/>
        </w:rPr>
      </w:pPr>
      <w:r w:rsidRPr="000D3FA6">
        <w:rPr>
          <w:rFonts w:eastAsia="Calibri"/>
        </w:rPr>
        <w:t>- eno plačilo razlike na podlagi zahtevka za plačilo razlike iz člena 4.4.</w:t>
      </w:r>
    </w:p>
    <w:p w14:paraId="071C78F9" w14:textId="26BC5F61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5.2 Plačilo predhodnega financiranja</w:t>
      </w:r>
    </w:p>
    <w:p w14:paraId="6A599BDB" w14:textId="77777777" w:rsidR="00971CE4" w:rsidRPr="000D3FA6" w:rsidRDefault="00971CE4"/>
    <w:p w14:paraId="0ABD11A1" w14:textId="5F703F8E" w:rsidR="00971CE4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Cilj pred</w:t>
      </w:r>
      <w:r w:rsidR="00B2344A">
        <w:rPr>
          <w:rFonts w:eastAsia="Calibri"/>
        </w:rPr>
        <w:t xml:space="preserve">hodnega </w:t>
      </w:r>
      <w:r w:rsidRPr="000D3FA6">
        <w:rPr>
          <w:rFonts w:eastAsia="Calibri"/>
        </w:rPr>
        <w:t>financiranja je</w:t>
      </w:r>
      <w:r w:rsidR="00B2344A">
        <w:rPr>
          <w:rFonts w:eastAsia="Calibri"/>
        </w:rPr>
        <w:t xml:space="preserve"> partnerju zagotoviti likvidna sredstva</w:t>
      </w:r>
      <w:r w:rsidRPr="000D3FA6">
        <w:rPr>
          <w:rFonts w:eastAsia="Calibri"/>
        </w:rPr>
        <w:t>. Predhodno financiranje ostane v lasti NA do plačila preostalega zneska.</w:t>
      </w:r>
    </w:p>
    <w:p w14:paraId="1C34DF79" w14:textId="3039087E" w:rsidR="00D37E78" w:rsidRPr="00D37E78" w:rsidRDefault="00D11230" w:rsidP="00D37E78">
      <w:pPr>
        <w:suppressAutoHyphens/>
        <w:jc w:val="both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NA mora partnerju</w:t>
      </w:r>
      <w:r w:rsidR="00D37E78" w:rsidRPr="00D37E78">
        <w:rPr>
          <w:rFonts w:eastAsia="Calibri"/>
          <w:szCs w:val="22"/>
          <w:lang w:eastAsia="ar-SA"/>
        </w:rPr>
        <w:t xml:space="preserve"> plačati v 30 dneh po začetku veljavnosti sporazuma predhodno financiranje v znesku </w:t>
      </w:r>
      <w:r w:rsidR="00D37E78" w:rsidRPr="00D37E78">
        <w:rPr>
          <w:rFonts w:eastAsia="Calibri"/>
          <w:szCs w:val="22"/>
          <w:highlight w:val="yellow"/>
          <w:lang w:eastAsia="ar-SA"/>
        </w:rPr>
        <w:t>[…]</w:t>
      </w:r>
      <w:r w:rsidR="00D37E78" w:rsidRPr="00D37E78">
        <w:rPr>
          <w:rFonts w:eastAsia="Calibri"/>
          <w:szCs w:val="22"/>
          <w:lang w:eastAsia="ar-SA"/>
        </w:rPr>
        <w:t xml:space="preserve"> EUR, kar ustreza 80 % najvišjega zneska nepovratnih sredstev iz člena I.3.1.</w:t>
      </w:r>
    </w:p>
    <w:p w14:paraId="6D24150F" w14:textId="6498BFB5" w:rsidR="00971CE4" w:rsidRPr="000D3FA6" w:rsidRDefault="00971CE4"/>
    <w:p w14:paraId="6BD90AFA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lastRenderedPageBreak/>
        <w:t>5.3 Vmesna plačila</w:t>
      </w:r>
    </w:p>
    <w:p w14:paraId="04DC5B47" w14:textId="0A743B6D" w:rsidR="00971CE4" w:rsidRPr="000D3FA6" w:rsidRDefault="007B6E89">
      <w:pPr>
        <w:spacing w:before="240" w:after="200" w:line="276" w:lineRule="auto"/>
        <w:ind w:left="426" w:hanging="426"/>
        <w:jc w:val="both"/>
        <w:rPr>
          <w:rFonts w:eastAsia="Calibri"/>
        </w:rPr>
      </w:pPr>
      <w:r w:rsidRPr="000D3FA6">
        <w:rPr>
          <w:rFonts w:eastAsia="Calibri"/>
        </w:rPr>
        <w:t>se ne uporablja</w:t>
      </w:r>
    </w:p>
    <w:p w14:paraId="4EF333A2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5.4 Plačilo preostalega zneska</w:t>
      </w:r>
    </w:p>
    <w:p w14:paraId="6310B76C" w14:textId="77777777" w:rsidR="00971CE4" w:rsidRPr="000D3FA6" w:rsidRDefault="00971CE4"/>
    <w:p w14:paraId="1359A7D1" w14:textId="77777777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Plačilo preostalega zneska povrne ali krije preostali del upravičenih stroškov, ki jih ima partner pri izvajanju </w:t>
      </w:r>
      <w:r w:rsidRPr="000D3FA6">
        <w:rPr>
          <w:rFonts w:eastAsia="Calibri"/>
          <w:i/>
        </w:rPr>
        <w:t>aktivnosti</w:t>
      </w:r>
      <w:r w:rsidRPr="000D3FA6">
        <w:rPr>
          <w:rFonts w:eastAsia="Calibri"/>
        </w:rPr>
        <w:t>.</w:t>
      </w:r>
    </w:p>
    <w:p w14:paraId="7187C0E2" w14:textId="67A11C2F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Če je skupni znesek prejšnjih plačil večji od končnega zneska </w:t>
      </w:r>
      <w:r w:rsidR="003A4B21">
        <w:rPr>
          <w:rFonts w:eastAsia="Calibri"/>
        </w:rPr>
        <w:t>nepovratnih sredstev</w:t>
      </w:r>
      <w:r w:rsidRPr="000D3FA6">
        <w:rPr>
          <w:rFonts w:eastAsia="Calibri"/>
        </w:rPr>
        <w:t>, določenega v skladu s členom II.25</w:t>
      </w:r>
      <w:r w:rsidRPr="000D3FA6">
        <w:t xml:space="preserve"> okvirnega sporazuma</w:t>
      </w:r>
      <w:r w:rsidRPr="000D3FA6">
        <w:rPr>
          <w:rFonts w:eastAsia="Calibri"/>
        </w:rPr>
        <w:t xml:space="preserve">, </w:t>
      </w:r>
      <w:r w:rsidR="00047629">
        <w:rPr>
          <w:rFonts w:eastAsia="Calibri"/>
        </w:rPr>
        <w:t xml:space="preserve">je </w:t>
      </w:r>
      <w:r w:rsidRPr="000D3FA6">
        <w:rPr>
          <w:rFonts w:eastAsia="Calibri"/>
        </w:rPr>
        <w:t xml:space="preserve">plačilo razlike v obliki vračila, kot je določeno v členu II.26 </w:t>
      </w:r>
      <w:r w:rsidRPr="000D3FA6">
        <w:t>okvirnega sporazuma</w:t>
      </w:r>
      <w:r w:rsidRPr="000D3FA6">
        <w:rPr>
          <w:rFonts w:eastAsia="Calibri"/>
        </w:rPr>
        <w:t>.</w:t>
      </w:r>
    </w:p>
    <w:p w14:paraId="7FFF94A2" w14:textId="1A805BF0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Če je skupni znesek prejšnjih plačil večji od končnega zneska </w:t>
      </w:r>
      <w:r w:rsidR="00047629">
        <w:rPr>
          <w:rFonts w:eastAsia="Calibri"/>
        </w:rPr>
        <w:t>nepovratnih sredstev</w:t>
      </w:r>
      <w:r w:rsidRPr="000D3FA6">
        <w:rPr>
          <w:rFonts w:eastAsia="Calibri"/>
        </w:rPr>
        <w:t xml:space="preserve">, določenega v skladu s členom II.25 </w:t>
      </w:r>
      <w:r w:rsidRPr="000D3FA6">
        <w:t>okvirnega sporazuma</w:t>
      </w:r>
      <w:r w:rsidR="00D37E78">
        <w:rPr>
          <w:rFonts w:eastAsia="Calibri"/>
        </w:rPr>
        <w:t xml:space="preserve">, mora NA plačati preostanek v </w:t>
      </w:r>
      <w:r w:rsidRPr="000D3FA6">
        <w:rPr>
          <w:rFonts w:eastAsia="Calibri"/>
        </w:rPr>
        <w:t>60</w:t>
      </w:r>
      <w:r w:rsidR="00D37E78">
        <w:rPr>
          <w:rFonts w:eastAsia="Calibri"/>
        </w:rPr>
        <w:t xml:space="preserve"> </w:t>
      </w:r>
      <w:r w:rsidRPr="000D3FA6">
        <w:rPr>
          <w:rFonts w:eastAsia="Calibri"/>
        </w:rPr>
        <w:t xml:space="preserve">koledarskih dneh od dneva, ko prejme dokumente iz člena 4.4, razen če </w:t>
      </w:r>
      <w:r w:rsidR="00451E89">
        <w:rPr>
          <w:rFonts w:eastAsia="Calibri"/>
        </w:rPr>
        <w:t xml:space="preserve">se uporabljata </w:t>
      </w:r>
      <w:r w:rsidRPr="000D3FA6">
        <w:rPr>
          <w:rFonts w:eastAsia="Calibri"/>
        </w:rPr>
        <w:t>člen</w:t>
      </w:r>
      <w:r w:rsidR="00451E89">
        <w:rPr>
          <w:rFonts w:eastAsia="Calibri"/>
        </w:rPr>
        <w:t>a</w:t>
      </w:r>
      <w:r w:rsidRPr="000D3FA6">
        <w:rPr>
          <w:rFonts w:eastAsia="Calibri"/>
        </w:rPr>
        <w:t xml:space="preserve"> II.24.1 ali II.24.2 </w:t>
      </w:r>
      <w:r w:rsidRPr="000D3FA6">
        <w:t>okvirnega sporazuma</w:t>
      </w:r>
      <w:r w:rsidRPr="000D3FA6">
        <w:rPr>
          <w:rFonts w:eastAsia="Calibri"/>
        </w:rPr>
        <w:t>.</w:t>
      </w:r>
    </w:p>
    <w:p w14:paraId="1E1E124C" w14:textId="0058E223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Plačilo je odvisno od odobritve zahtevka za plačilo preostalega zneska in spremnih dokumentov. Njihova odobritev ne pomeni priznanja skladnosti, verodostojnosti, popolnosti ali pravilnosti njihove vsebine.</w:t>
      </w:r>
    </w:p>
    <w:p w14:paraId="040B647E" w14:textId="19E69142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NA določi dolgovani znesek tako, da odšteje skupni znesek predhodnega financiranja in morebitnih vmesnih plačil (če sploh) iz končnega zneska </w:t>
      </w:r>
      <w:r w:rsidR="00047629">
        <w:rPr>
          <w:rFonts w:eastAsia="Calibri"/>
        </w:rPr>
        <w:t>nepovratnih sredstev</w:t>
      </w:r>
      <w:r w:rsidRPr="000D3FA6">
        <w:rPr>
          <w:rFonts w:eastAsia="Calibri"/>
        </w:rPr>
        <w:t xml:space="preserve">, določenega v skladu s členom II.25 </w:t>
      </w:r>
      <w:r w:rsidRPr="000D3FA6">
        <w:t>okvirnega sporazuma</w:t>
      </w:r>
      <w:r w:rsidRPr="000D3FA6">
        <w:rPr>
          <w:rFonts w:eastAsia="Calibri"/>
        </w:rPr>
        <w:t>.</w:t>
      </w:r>
    </w:p>
    <w:p w14:paraId="441AF84F" w14:textId="0CE2A5BC" w:rsidR="00971CE4" w:rsidRPr="000D3FA6" w:rsidRDefault="007B6E89">
      <w:pPr>
        <w:rPr>
          <w:rFonts w:eastAsia="Calibri"/>
        </w:rPr>
      </w:pPr>
      <w:r w:rsidRPr="000D3FA6">
        <w:rPr>
          <w:rFonts w:eastAsia="Calibri"/>
        </w:rPr>
        <w:t>Znesek, ki ga je treba plača</w:t>
      </w:r>
      <w:r w:rsidR="00D37E78">
        <w:rPr>
          <w:rFonts w:eastAsia="Calibri"/>
        </w:rPr>
        <w:t xml:space="preserve">ti, se lahko brez soglasja </w:t>
      </w:r>
      <w:r w:rsidR="00143CF5">
        <w:rPr>
          <w:rFonts w:eastAsia="Calibri"/>
        </w:rPr>
        <w:t>partnerja</w:t>
      </w:r>
      <w:r w:rsidRPr="000D3FA6">
        <w:rPr>
          <w:rFonts w:eastAsia="Calibri"/>
        </w:rPr>
        <w:t xml:space="preserve"> izravna z vsemi drugimi zneski, ki jih partner dolguje NA, do najvišjega zneska </w:t>
      </w:r>
      <w:r w:rsidR="00F41BF0">
        <w:rPr>
          <w:rFonts w:eastAsia="Calibri"/>
        </w:rPr>
        <w:t>nepovratnih sredstev</w:t>
      </w:r>
      <w:r w:rsidRPr="000D3FA6">
        <w:rPr>
          <w:rFonts w:eastAsia="Calibri"/>
        </w:rPr>
        <w:t>.</w:t>
      </w:r>
    </w:p>
    <w:p w14:paraId="59B4D3ED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rFonts w:eastAsia="Calibri"/>
          <w:sz w:val="24"/>
        </w:rPr>
        <w:t xml:space="preserve">5.5 </w:t>
      </w:r>
      <w:r w:rsidRPr="000D3FA6">
        <w:rPr>
          <w:sz w:val="24"/>
        </w:rPr>
        <w:t>Obvestilo o zapadlih zneskih</w:t>
      </w:r>
    </w:p>
    <w:p w14:paraId="09331427" w14:textId="77777777" w:rsidR="00971CE4" w:rsidRPr="000D3FA6" w:rsidRDefault="00971CE4"/>
    <w:p w14:paraId="0798C29C" w14:textId="2C526CBD" w:rsidR="00971CE4" w:rsidRPr="000D3FA6" w:rsidRDefault="007B6E89">
      <w:pPr>
        <w:jc w:val="both"/>
      </w:pPr>
      <w:r w:rsidRPr="000D3FA6">
        <w:t xml:space="preserve">NA mora poslati </w:t>
      </w:r>
      <w:r w:rsidRPr="000D3FA6">
        <w:rPr>
          <w:i/>
        </w:rPr>
        <w:t>uradno obvestilo</w:t>
      </w:r>
      <w:r w:rsidRPr="000D3FA6">
        <w:t xml:space="preserve"> partnerju</w:t>
      </w:r>
      <w:r w:rsidR="00F41BF0">
        <w:t>, v katerem</w:t>
      </w:r>
      <w:r w:rsidRPr="000D3FA6">
        <w:t>:</w:t>
      </w:r>
    </w:p>
    <w:p w14:paraId="0A6E951F" w14:textId="5A111517" w:rsidR="00971CE4" w:rsidRPr="000D3FA6" w:rsidRDefault="00F41BF0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ga </w:t>
      </w:r>
      <w:r w:rsidR="007B6E89" w:rsidRPr="000D3FA6">
        <w:t>obve</w:t>
      </w:r>
      <w:r>
        <w:t>sti</w:t>
      </w:r>
      <w:r w:rsidR="007B6E89" w:rsidRPr="000D3FA6">
        <w:t xml:space="preserve"> o dolgovanem znesku; in</w:t>
      </w:r>
    </w:p>
    <w:p w14:paraId="4F5B6D73" w14:textId="216769B4" w:rsidR="00971CE4" w:rsidRPr="000D3FA6" w:rsidRDefault="00F41BF0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navede</w:t>
      </w:r>
      <w:r w:rsidR="007B6E89" w:rsidRPr="000D3FA6">
        <w:t xml:space="preserve">, ali se </w:t>
      </w:r>
      <w:r>
        <w:t>obvestilo</w:t>
      </w:r>
      <w:r w:rsidR="007B6E89" w:rsidRPr="000D3FA6">
        <w:t xml:space="preserve"> nanaša na dodatno plačilo </w:t>
      </w:r>
      <w:r>
        <w:t>predhodnega</w:t>
      </w:r>
      <w:r w:rsidR="007B6E89" w:rsidRPr="000D3FA6">
        <w:t xml:space="preserve"> financiranja, vmesno plačilo ali plačilo razlike.</w:t>
      </w:r>
    </w:p>
    <w:p w14:paraId="0182AE8C" w14:textId="4AB86B10" w:rsidR="00971CE4" w:rsidRPr="000D3FA6" w:rsidRDefault="007B6E89">
      <w:pPr>
        <w:jc w:val="both"/>
      </w:pPr>
      <w:r w:rsidRPr="000D3FA6">
        <w:t xml:space="preserve">Za plačilo preostalega zneska mora NA določiti tudi končni znesek </w:t>
      </w:r>
      <w:r w:rsidR="00F41BF0">
        <w:t>nepovratnih sredstev</w:t>
      </w:r>
      <w:r w:rsidRPr="000D3FA6">
        <w:t>, določen v skladu s členom II.25 okvirnega sporazuma.</w:t>
      </w:r>
    </w:p>
    <w:p w14:paraId="6FF5E309" w14:textId="77777777" w:rsidR="00971CE4" w:rsidRPr="000D3FA6" w:rsidRDefault="007B6E89">
      <w:pPr>
        <w:pStyle w:val="Heading2"/>
        <w:rPr>
          <w:caps/>
          <w:sz w:val="24"/>
        </w:rPr>
      </w:pPr>
      <w:r w:rsidRPr="000D3FA6">
        <w:rPr>
          <w:caps/>
          <w:sz w:val="24"/>
        </w:rPr>
        <w:t xml:space="preserve">5.6 </w:t>
      </w:r>
      <w:r w:rsidRPr="000D3FA6">
        <w:rPr>
          <w:sz w:val="24"/>
        </w:rPr>
        <w:t>Zamudne obresti</w:t>
      </w:r>
    </w:p>
    <w:p w14:paraId="4713CFFC" w14:textId="77777777" w:rsidR="00971CE4" w:rsidRPr="000D3FA6" w:rsidRDefault="00971CE4">
      <w:pPr>
        <w:spacing w:line="276" w:lineRule="auto"/>
        <w:jc w:val="both"/>
        <w:rPr>
          <w:b/>
          <w:caps/>
        </w:rPr>
      </w:pPr>
    </w:p>
    <w:p w14:paraId="5E1ED46E" w14:textId="5C1AF7D4" w:rsidR="00971CE4" w:rsidRPr="000D3FA6" w:rsidRDefault="007B6E89">
      <w:pPr>
        <w:spacing w:after="200" w:line="276" w:lineRule="auto"/>
        <w:jc w:val="both"/>
        <w:rPr>
          <w:rFonts w:eastAsia="Calibri"/>
          <w:color w:val="000000"/>
        </w:rPr>
      </w:pPr>
      <w:r w:rsidRPr="000D3FA6">
        <w:rPr>
          <w:rFonts w:eastAsia="Calibri"/>
        </w:rPr>
        <w:t xml:space="preserve">Če NA ne plača v roku za plačilo, je partner upravičen do zamudnih obresti po obrestni meri, ki jo Evropska centralna banka uporablja za svoje glavne operacije refinanciranja v evrih ("referenčna </w:t>
      </w:r>
      <w:r w:rsidRPr="000D3FA6">
        <w:rPr>
          <w:rFonts w:eastAsia="Calibri"/>
        </w:rPr>
        <w:lastRenderedPageBreak/>
        <w:t>obrestna mera"), plus tri in pol točk. Referenčna obrestna mera je stopnja, ki velja na prvi dan meseca, v katerem poteče rok za plačilo, kot je objavljen</w:t>
      </w:r>
      <w:r w:rsidR="00F41BF0">
        <w:rPr>
          <w:rFonts w:eastAsia="Calibri"/>
        </w:rPr>
        <w:t>a</w:t>
      </w:r>
      <w:r w:rsidRPr="000D3FA6">
        <w:rPr>
          <w:rFonts w:eastAsia="Calibri"/>
        </w:rPr>
        <w:t xml:space="preserve"> v seriji C </w:t>
      </w:r>
      <w:r w:rsidRPr="000D3FA6">
        <w:rPr>
          <w:rFonts w:eastAsia="Calibri"/>
          <w:i/>
        </w:rPr>
        <w:t>Uradn</w:t>
      </w:r>
      <w:r w:rsidR="00F41BF0">
        <w:rPr>
          <w:rFonts w:eastAsia="Calibri"/>
          <w:i/>
        </w:rPr>
        <w:t>ega</w:t>
      </w:r>
      <w:r w:rsidRPr="000D3FA6">
        <w:rPr>
          <w:rFonts w:eastAsia="Calibri"/>
          <w:i/>
        </w:rPr>
        <w:t xml:space="preserve"> list</w:t>
      </w:r>
      <w:r w:rsidR="00F41BF0">
        <w:rPr>
          <w:rFonts w:eastAsia="Calibri"/>
          <w:i/>
        </w:rPr>
        <w:t>a</w:t>
      </w:r>
      <w:r w:rsidRPr="000D3FA6">
        <w:rPr>
          <w:rFonts w:eastAsia="Calibri"/>
          <w:i/>
        </w:rPr>
        <w:t xml:space="preserve"> Evropske unije</w:t>
      </w:r>
      <w:r w:rsidRPr="000D3FA6">
        <w:rPr>
          <w:rFonts w:eastAsia="Calibri"/>
        </w:rPr>
        <w:t>.</w:t>
      </w:r>
    </w:p>
    <w:p w14:paraId="5FC870A7" w14:textId="23BD10E1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Zamudne obresti se ne plačajo, če je partner država članica Unije (vključno z regionalnimi in lokalnimi vladnimi organi in drugimi javnimi organi, ki delujejo v imenu in </w:t>
      </w:r>
      <w:r w:rsidR="00F41BF0">
        <w:rPr>
          <w:rFonts w:eastAsia="Calibri"/>
        </w:rPr>
        <w:t>na</w:t>
      </w:r>
      <w:r w:rsidRPr="000D3FA6">
        <w:rPr>
          <w:rFonts w:eastAsia="Calibri"/>
        </w:rPr>
        <w:t xml:space="preserve"> račun države članice za namene okvirnega sporazuma in posebn</w:t>
      </w:r>
      <w:r w:rsidR="00F41BF0">
        <w:rPr>
          <w:rFonts w:eastAsia="Calibri"/>
        </w:rPr>
        <w:t>ega sporazuma</w:t>
      </w:r>
      <w:r w:rsidRPr="000D3FA6">
        <w:rPr>
          <w:rFonts w:eastAsia="Calibri"/>
        </w:rPr>
        <w:t>).</w:t>
      </w:r>
    </w:p>
    <w:p w14:paraId="279697B4" w14:textId="273D5691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Če NA prekine rok za plačilo, kot je določeno v členu II.24.2 </w:t>
      </w:r>
      <w:r w:rsidRPr="000D3FA6">
        <w:t>okvirnega sporazuma</w:t>
      </w:r>
      <w:r w:rsidRPr="000D3FA6">
        <w:rPr>
          <w:rFonts w:eastAsia="Calibri"/>
        </w:rPr>
        <w:t xml:space="preserve"> ali če odloži plačila, kot je določeno v členu II.24.1</w:t>
      </w:r>
      <w:r w:rsidRPr="000D3FA6">
        <w:t xml:space="preserve"> okvirnega sporazuma</w:t>
      </w:r>
      <w:r w:rsidR="00F41BF0">
        <w:t xml:space="preserve">, se </w:t>
      </w:r>
      <w:r w:rsidRPr="000D3FA6">
        <w:rPr>
          <w:rFonts w:eastAsia="Calibri"/>
        </w:rPr>
        <w:t>te dejavnosti se ne smejo obravnavati kot primeri zamude pri plačilu.</w:t>
      </w:r>
    </w:p>
    <w:p w14:paraId="5746907B" w14:textId="51A9FCFE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 xml:space="preserve">Zamudne obresti zajemajo obdobje od dneva po datumu zapadlosti plačila do vključno dejanskega plačila, kot je določeno v členu 5.8. NA ne upošteva plačljivih obresti pri določanju končnega zneska nepovratnih sredstev v smislu člena II.25 </w:t>
      </w:r>
      <w:r w:rsidRPr="000D3FA6">
        <w:t>okvirnega sporazuma</w:t>
      </w:r>
      <w:r w:rsidRPr="000D3FA6">
        <w:rPr>
          <w:rFonts w:eastAsia="Calibri"/>
        </w:rPr>
        <w:t>.</w:t>
      </w:r>
    </w:p>
    <w:p w14:paraId="4921B273" w14:textId="4D5D7EB2" w:rsidR="00971CE4" w:rsidRPr="000D3FA6" w:rsidRDefault="007B6E89">
      <w:pPr>
        <w:spacing w:after="200" w:line="276" w:lineRule="auto"/>
        <w:jc w:val="both"/>
        <w:rPr>
          <w:rFonts w:eastAsia="Calibri"/>
          <w:color w:val="000000"/>
        </w:rPr>
      </w:pPr>
      <w:r w:rsidRPr="000D3FA6">
        <w:rPr>
          <w:rFonts w:eastAsia="Calibri"/>
          <w:color w:val="000000"/>
        </w:rPr>
        <w:t xml:space="preserve">Izjema od prvega pododstavka, če </w:t>
      </w:r>
      <w:r w:rsidR="00047629">
        <w:rPr>
          <w:rFonts w:eastAsia="Calibri"/>
          <w:color w:val="000000"/>
        </w:rPr>
        <w:t>so</w:t>
      </w:r>
      <w:r w:rsidRPr="000D3FA6">
        <w:rPr>
          <w:rFonts w:eastAsia="Calibri"/>
          <w:color w:val="000000"/>
        </w:rPr>
        <w:t xml:space="preserve"> obračunan</w:t>
      </w:r>
      <w:r w:rsidR="00047629">
        <w:rPr>
          <w:rFonts w:eastAsia="Calibri"/>
          <w:color w:val="000000"/>
        </w:rPr>
        <w:t>e</w:t>
      </w:r>
      <w:r w:rsidRPr="000D3FA6">
        <w:rPr>
          <w:rFonts w:eastAsia="Calibri"/>
          <w:color w:val="000000"/>
        </w:rPr>
        <w:t xml:space="preserve"> obresti nižj</w:t>
      </w:r>
      <w:r w:rsidR="00047629">
        <w:rPr>
          <w:rFonts w:eastAsia="Calibri"/>
          <w:color w:val="000000"/>
        </w:rPr>
        <w:t xml:space="preserve">e </w:t>
      </w:r>
      <w:r w:rsidRPr="000D3FA6">
        <w:rPr>
          <w:rFonts w:eastAsia="Calibri"/>
          <w:color w:val="000000"/>
        </w:rPr>
        <w:t>ali enak</w:t>
      </w:r>
      <w:r w:rsidR="00047629">
        <w:rPr>
          <w:rFonts w:eastAsia="Calibri"/>
          <w:color w:val="000000"/>
        </w:rPr>
        <w:t>e</w:t>
      </w:r>
      <w:r w:rsidRPr="000D3FA6">
        <w:rPr>
          <w:rFonts w:eastAsia="Calibri"/>
          <w:color w:val="000000"/>
        </w:rPr>
        <w:t xml:space="preserve"> 200 EUR, j</w:t>
      </w:r>
      <w:r w:rsidR="00047629">
        <w:rPr>
          <w:rFonts w:eastAsia="Calibri"/>
          <w:color w:val="000000"/>
        </w:rPr>
        <w:t>ih</w:t>
      </w:r>
      <w:r w:rsidRPr="000D3FA6">
        <w:rPr>
          <w:rFonts w:eastAsia="Calibri"/>
          <w:color w:val="000000"/>
        </w:rPr>
        <w:t xml:space="preserve"> je treba plačati partnerju le, če j</w:t>
      </w:r>
      <w:r w:rsidR="00047629">
        <w:rPr>
          <w:rFonts w:eastAsia="Calibri"/>
          <w:color w:val="000000"/>
        </w:rPr>
        <w:t>ih</w:t>
      </w:r>
      <w:r w:rsidRPr="000D3FA6">
        <w:rPr>
          <w:rFonts w:eastAsia="Calibri"/>
          <w:color w:val="000000"/>
        </w:rPr>
        <w:t xml:space="preserve"> partner zahteva v dveh mesecih po prejemu </w:t>
      </w:r>
      <w:r w:rsidR="00F41BF0">
        <w:rPr>
          <w:rFonts w:eastAsia="Calibri"/>
          <w:color w:val="000000"/>
        </w:rPr>
        <w:t>zapadlega plačila</w:t>
      </w:r>
      <w:r w:rsidRPr="000D3FA6">
        <w:rPr>
          <w:rFonts w:eastAsia="Calibri"/>
          <w:color w:val="000000"/>
        </w:rPr>
        <w:t>.</w:t>
      </w:r>
    </w:p>
    <w:p w14:paraId="2CC7B19B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caps/>
          <w:sz w:val="24"/>
        </w:rPr>
        <w:t xml:space="preserve">5.7 </w:t>
      </w:r>
      <w:r w:rsidRPr="000D3FA6">
        <w:rPr>
          <w:sz w:val="24"/>
        </w:rPr>
        <w:t>Valuta za plačila</w:t>
      </w:r>
    </w:p>
    <w:p w14:paraId="03F55A42" w14:textId="77777777" w:rsidR="00971CE4" w:rsidRPr="000D3FA6" w:rsidRDefault="00971CE4"/>
    <w:p w14:paraId="76944C5F" w14:textId="5D9FEB47" w:rsidR="00971CE4" w:rsidRPr="000D3FA6" w:rsidRDefault="007B6E89">
      <w:pPr>
        <w:jc w:val="both"/>
      </w:pPr>
      <w:r w:rsidRPr="000D3FA6">
        <w:t>NA mora plačevati v evrih.</w:t>
      </w:r>
    </w:p>
    <w:p w14:paraId="48C2FEC3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5.8 Datum plačila</w:t>
      </w:r>
    </w:p>
    <w:p w14:paraId="7BB462A4" w14:textId="77777777" w:rsidR="00971CE4" w:rsidRPr="000D3FA6" w:rsidRDefault="00971CE4"/>
    <w:p w14:paraId="52392BAF" w14:textId="69DD9906" w:rsidR="00971CE4" w:rsidRPr="000D3FA6" w:rsidRDefault="007B6E89">
      <w:pPr>
        <w:jc w:val="both"/>
        <w:rPr>
          <w:b/>
        </w:rPr>
      </w:pPr>
      <w:r w:rsidRPr="000D3FA6">
        <w:t xml:space="preserve">Za plačila NA se šteje, da so bila </w:t>
      </w:r>
      <w:r w:rsidR="00F41BF0" w:rsidRPr="000D3FA6">
        <w:t>izvedena</w:t>
      </w:r>
      <w:r w:rsidRPr="000D3FA6">
        <w:t xml:space="preserve"> na dan, ko so knjižena v breme njenega računa.</w:t>
      </w:r>
    </w:p>
    <w:p w14:paraId="1C0D71D7" w14:textId="77777777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>5.9 Stroški plačilnih prenosov</w:t>
      </w:r>
    </w:p>
    <w:p w14:paraId="4AD504B8" w14:textId="77777777" w:rsidR="00971CE4" w:rsidRPr="000D3FA6" w:rsidRDefault="00971CE4"/>
    <w:p w14:paraId="6922E8D9" w14:textId="77777777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Stroški plačilnih prenosov so naslednji:</w:t>
      </w:r>
    </w:p>
    <w:p w14:paraId="7B4BBD25" w14:textId="4FFE3175" w:rsidR="00971CE4" w:rsidRPr="000D3FA6" w:rsidRDefault="007B6E8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Calibri"/>
        </w:rPr>
      </w:pPr>
      <w:r w:rsidRPr="000D3FA6">
        <w:rPr>
          <w:rFonts w:eastAsia="Calibri"/>
        </w:rPr>
        <w:t>NA krije stroške prenosa, ki ga zaračuna njena banka;</w:t>
      </w:r>
    </w:p>
    <w:p w14:paraId="23A43F5C" w14:textId="77777777" w:rsidR="00971CE4" w:rsidRPr="000D3FA6" w:rsidRDefault="007B6E8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Calibri"/>
        </w:rPr>
      </w:pPr>
      <w:r w:rsidRPr="000D3FA6">
        <w:rPr>
          <w:rFonts w:eastAsia="Calibri"/>
        </w:rPr>
        <w:t>partner nosi stroške prenosa, ki ga zaračuna njegova banka;</w:t>
      </w:r>
    </w:p>
    <w:p w14:paraId="6F1F7D1E" w14:textId="77777777" w:rsidR="00971CE4" w:rsidRPr="000D3FA6" w:rsidRDefault="007B6E8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Calibri"/>
        </w:rPr>
      </w:pPr>
      <w:r w:rsidRPr="000D3FA6">
        <w:rPr>
          <w:rFonts w:eastAsia="Calibri"/>
        </w:rPr>
        <w:t>stranka, ki povzroči ponovitev prenosa, nosi vse stroške ponovnega prenosa.</w:t>
      </w:r>
    </w:p>
    <w:p w14:paraId="7343CD7C" w14:textId="7BBE47FE" w:rsidR="00143CF5" w:rsidRPr="00143CF5" w:rsidRDefault="00E47622" w:rsidP="00143CF5">
      <w:pPr>
        <w:pStyle w:val="Heading2"/>
        <w:rPr>
          <w:sz w:val="24"/>
        </w:rPr>
      </w:pPr>
      <w:r>
        <w:rPr>
          <w:sz w:val="24"/>
        </w:rPr>
        <w:t>5.10 Plačila</w:t>
      </w:r>
      <w:r w:rsidR="00143CF5">
        <w:rPr>
          <w:sz w:val="24"/>
        </w:rPr>
        <w:t xml:space="preserve"> partnerju</w:t>
      </w:r>
    </w:p>
    <w:p w14:paraId="4922F7D1" w14:textId="77777777" w:rsidR="00971CE4" w:rsidRPr="000D3FA6" w:rsidRDefault="00971CE4"/>
    <w:p w14:paraId="5D89FA2B" w14:textId="4642B281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NA mora izplačati partnerju.</w:t>
      </w:r>
    </w:p>
    <w:p w14:paraId="114F3D62" w14:textId="77777777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Plačila partnerju Komisiji odtegnejo plačilno obveznost.</w:t>
      </w:r>
    </w:p>
    <w:p w14:paraId="27F29273" w14:textId="77777777" w:rsidR="00971CE4" w:rsidRPr="000D3FA6" w:rsidRDefault="007B6E89">
      <w:pPr>
        <w:pStyle w:val="Heading1"/>
        <w:rPr>
          <w:caps/>
        </w:rPr>
      </w:pPr>
      <w:r w:rsidRPr="000D3FA6">
        <w:rPr>
          <w:caps/>
        </w:rPr>
        <w:t xml:space="preserve">ČLEN 6 - BANČNI RAČUN ZA PLAČILA </w:t>
      </w:r>
    </w:p>
    <w:p w14:paraId="1FE901F2" w14:textId="77777777" w:rsidR="00971CE4" w:rsidRPr="000D3FA6" w:rsidRDefault="00971CE4">
      <w:pPr>
        <w:spacing w:line="276" w:lineRule="auto"/>
        <w:jc w:val="both"/>
        <w:rPr>
          <w:b/>
          <w:caps/>
        </w:rPr>
      </w:pPr>
    </w:p>
    <w:p w14:paraId="48FC7548" w14:textId="2C201776" w:rsidR="00971CE4" w:rsidRPr="000D3FA6" w:rsidRDefault="007B6E89">
      <w:pPr>
        <w:spacing w:line="276" w:lineRule="auto"/>
        <w:jc w:val="both"/>
      </w:pPr>
      <w:r w:rsidRPr="000D3FA6">
        <w:t xml:space="preserve">Vsa plačila je treba opraviti na </w:t>
      </w:r>
      <w:r w:rsidR="00143CF5">
        <w:t>bančni račun partnerja</w:t>
      </w:r>
      <w:r w:rsidRPr="000D3FA6">
        <w:t>, kot je navedeno spodaj:</w:t>
      </w:r>
    </w:p>
    <w:p w14:paraId="182C393B" w14:textId="77777777" w:rsidR="00971CE4" w:rsidRPr="000D3FA6" w:rsidRDefault="007B6E89">
      <w:pPr>
        <w:spacing w:line="276" w:lineRule="auto"/>
      </w:pPr>
      <w:r w:rsidRPr="000D3FA6">
        <w:tab/>
      </w:r>
    </w:p>
    <w:p w14:paraId="739C3963" w14:textId="77777777" w:rsidR="00971CE4" w:rsidRPr="000D3FA6" w:rsidRDefault="007B6E89">
      <w:pPr>
        <w:spacing w:line="276" w:lineRule="auto"/>
      </w:pPr>
      <w:r w:rsidRPr="000D3FA6">
        <w:lastRenderedPageBreak/>
        <w:t>Naziv banke: […]</w:t>
      </w:r>
      <w:r w:rsidRPr="000D3FA6">
        <w:tab/>
      </w:r>
      <w:r w:rsidRPr="000D3FA6">
        <w:br/>
        <w:t>Natančno ime imetnika računa: […]</w:t>
      </w:r>
      <w:r w:rsidRPr="000D3FA6">
        <w:tab/>
      </w:r>
      <w:r w:rsidRPr="000D3FA6">
        <w:br/>
        <w:t>Celotna številka računa (vključno z bančnimi kodami): […]</w:t>
      </w:r>
      <w:r w:rsidRPr="000D3FA6">
        <w:tab/>
      </w:r>
      <w:r w:rsidRPr="000D3FA6">
        <w:br/>
        <w:t>[IBAN koda: […]]</w:t>
      </w:r>
      <w:r w:rsidRPr="000D3FA6">
        <w:rPr>
          <w:i/>
        </w:rPr>
        <w:footnoteReference w:id="4"/>
      </w:r>
    </w:p>
    <w:p w14:paraId="389AC367" w14:textId="79A491C3" w:rsidR="00971CE4" w:rsidRPr="000D3FA6" w:rsidRDefault="007B6E89">
      <w:pPr>
        <w:pStyle w:val="Heading1"/>
      </w:pPr>
      <w:r w:rsidRPr="000D3FA6">
        <w:t xml:space="preserve">ČLEN 7 </w:t>
      </w:r>
      <w:r w:rsidR="00722F72">
        <w:t>–</w:t>
      </w:r>
      <w:r w:rsidRPr="000D3FA6">
        <w:t xml:space="preserve"> </w:t>
      </w:r>
      <w:r w:rsidR="00722F72">
        <w:t xml:space="preserve">KONTAKTNI </w:t>
      </w:r>
      <w:r w:rsidR="00E47622">
        <w:t>PODATKI POGODBENIH STRANK</w:t>
      </w:r>
    </w:p>
    <w:p w14:paraId="25DBCF0E" w14:textId="4DEE4F13" w:rsidR="00971CE4" w:rsidRPr="000D3FA6" w:rsidRDefault="00722F72">
      <w:pPr>
        <w:pStyle w:val="Heading2"/>
        <w:rPr>
          <w:sz w:val="24"/>
        </w:rPr>
      </w:pPr>
      <w:r>
        <w:rPr>
          <w:sz w:val="24"/>
        </w:rPr>
        <w:t>7.1 Kontaktni p</w:t>
      </w:r>
      <w:r w:rsidR="007B6E89" w:rsidRPr="000D3FA6">
        <w:rPr>
          <w:sz w:val="24"/>
        </w:rPr>
        <w:t>odatki NA</w:t>
      </w:r>
    </w:p>
    <w:p w14:paraId="7CA31FED" w14:textId="77777777" w:rsidR="00971CE4" w:rsidRPr="000D3FA6" w:rsidRDefault="00971CE4">
      <w:pPr>
        <w:ind w:left="567" w:hanging="567"/>
        <w:jc w:val="both"/>
        <w:rPr>
          <w:i/>
          <w:iCs/>
        </w:rPr>
      </w:pPr>
    </w:p>
    <w:p w14:paraId="190CD11E" w14:textId="792B8ACC" w:rsidR="00971CE4" w:rsidRPr="000D3FA6" w:rsidRDefault="007B6E89">
      <w:pPr>
        <w:spacing w:after="200" w:line="276" w:lineRule="auto"/>
        <w:jc w:val="both"/>
        <w:rPr>
          <w:rFonts w:eastAsia="Calibri"/>
        </w:rPr>
      </w:pPr>
      <w:r w:rsidRPr="000D3FA6">
        <w:rPr>
          <w:rFonts w:eastAsia="Calibri"/>
        </w:rPr>
        <w:t>Vsako sporočilo, naslovljeno na NA</w:t>
      </w:r>
      <w:r w:rsidR="00E2271B">
        <w:rPr>
          <w:rFonts w:eastAsia="Calibri"/>
        </w:rPr>
        <w:t>,</w:t>
      </w:r>
      <w:r w:rsidRPr="000D3FA6">
        <w:rPr>
          <w:rFonts w:eastAsia="Calibri"/>
          <w:i/>
        </w:rPr>
        <w:t xml:space="preserve"> </w:t>
      </w:r>
      <w:r w:rsidRPr="000D3FA6">
        <w:rPr>
          <w:rFonts w:eastAsia="Calibri"/>
        </w:rPr>
        <w:t>je treba poslati na naslednji naslov:</w:t>
      </w:r>
    </w:p>
    <w:p w14:paraId="19D6809F" w14:textId="77777777" w:rsidR="00D73A24" w:rsidRPr="00176F71" w:rsidRDefault="00D73A24" w:rsidP="00D73A24">
      <w:pPr>
        <w:pStyle w:val="NoSpacing"/>
        <w:ind w:left="720"/>
        <w:rPr>
          <w:b/>
        </w:rPr>
      </w:pPr>
      <w:r>
        <w:rPr>
          <w:b/>
        </w:rPr>
        <w:t>MOVIT</w:t>
      </w:r>
    </w:p>
    <w:p w14:paraId="55111420" w14:textId="77777777" w:rsidR="00D73A24" w:rsidRPr="00176F71" w:rsidRDefault="00D73A24" w:rsidP="00D73A24">
      <w:pPr>
        <w:pStyle w:val="NoSpacing"/>
        <w:ind w:left="720"/>
      </w:pPr>
      <w:r w:rsidRPr="00176F71">
        <w:t xml:space="preserve">Dunajska </w:t>
      </w:r>
      <w:r>
        <w:t xml:space="preserve">cesta </w:t>
      </w:r>
      <w:r w:rsidRPr="00176F71">
        <w:t>5</w:t>
      </w:r>
    </w:p>
    <w:p w14:paraId="0B3DEA97" w14:textId="77777777" w:rsidR="00D73A24" w:rsidRPr="00176F71" w:rsidRDefault="00D73A24" w:rsidP="00D73A24">
      <w:pPr>
        <w:pStyle w:val="NoSpacing"/>
        <w:ind w:left="720"/>
      </w:pPr>
      <w:r w:rsidRPr="00176F71">
        <w:t>1000 Ljubljana, Slovenija</w:t>
      </w:r>
    </w:p>
    <w:p w14:paraId="615D69F6" w14:textId="3A188F8D" w:rsidR="00D73A24" w:rsidRDefault="00F31E85" w:rsidP="00D73A24">
      <w:pPr>
        <w:pStyle w:val="NoSpacing"/>
        <w:ind w:left="720"/>
      </w:pPr>
      <w:r>
        <w:t>Elektronski</w:t>
      </w:r>
      <w:r w:rsidR="00D73A24" w:rsidRPr="00176F71">
        <w:t xml:space="preserve"> naslov: </w:t>
      </w:r>
      <w:hyperlink r:id="rId13" w:history="1">
        <w:r w:rsidR="00D73A24" w:rsidRPr="00A047EB">
          <w:rPr>
            <w:rStyle w:val="Hyperlink"/>
          </w:rPr>
          <w:t>info@movit.si</w:t>
        </w:r>
      </w:hyperlink>
    </w:p>
    <w:p w14:paraId="3E02C6A7" w14:textId="08012DBF" w:rsidR="00971CE4" w:rsidRPr="000D3FA6" w:rsidRDefault="007B6E89">
      <w:pPr>
        <w:pStyle w:val="Heading2"/>
        <w:rPr>
          <w:sz w:val="24"/>
        </w:rPr>
      </w:pPr>
      <w:r w:rsidRPr="000D3FA6">
        <w:rPr>
          <w:sz w:val="24"/>
        </w:rPr>
        <w:t xml:space="preserve">7.2 </w:t>
      </w:r>
      <w:r w:rsidR="00722F72">
        <w:rPr>
          <w:sz w:val="24"/>
        </w:rPr>
        <w:t>Kontaktni p</w:t>
      </w:r>
      <w:r w:rsidR="00E2271B">
        <w:rPr>
          <w:sz w:val="24"/>
        </w:rPr>
        <w:t>odatki</w:t>
      </w:r>
      <w:r w:rsidR="00E47622">
        <w:rPr>
          <w:sz w:val="24"/>
        </w:rPr>
        <w:t xml:space="preserve"> </w:t>
      </w:r>
      <w:r w:rsidR="00143CF5">
        <w:rPr>
          <w:sz w:val="24"/>
        </w:rPr>
        <w:t>partnerja</w:t>
      </w:r>
    </w:p>
    <w:p w14:paraId="0B8BB9C1" w14:textId="77777777" w:rsidR="00971CE4" w:rsidRPr="000D3FA6" w:rsidRDefault="00971CE4">
      <w:pPr>
        <w:ind w:left="567" w:hanging="567"/>
        <w:jc w:val="both"/>
        <w:rPr>
          <w:i/>
          <w:iCs/>
        </w:rPr>
      </w:pPr>
    </w:p>
    <w:p w14:paraId="0A61E6BA" w14:textId="1ACA9DAA" w:rsidR="00971CE4" w:rsidRPr="000D3FA6" w:rsidRDefault="00B45F98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Vsako sporočilo NA od </w:t>
      </w:r>
      <w:r w:rsidR="00143CF5">
        <w:rPr>
          <w:rFonts w:eastAsia="Calibri"/>
        </w:rPr>
        <w:t>partnerja</w:t>
      </w:r>
      <w:r w:rsidR="007B6E89" w:rsidRPr="000D3FA6">
        <w:rPr>
          <w:rFonts w:eastAsia="Calibri"/>
        </w:rPr>
        <w:t xml:space="preserve"> mora biti poslano na naslednji</w:t>
      </w:r>
      <w:r w:rsidR="007B6E89" w:rsidRPr="000D3FA6">
        <w:rPr>
          <w:rFonts w:eastAsia="Calibri"/>
          <w:i/>
        </w:rPr>
        <w:t xml:space="preserve"> </w:t>
      </w:r>
      <w:r w:rsidR="007B6E89" w:rsidRPr="000D3FA6">
        <w:rPr>
          <w:rFonts w:eastAsia="Calibri"/>
        </w:rPr>
        <w:t>naslov:</w:t>
      </w:r>
    </w:p>
    <w:p w14:paraId="7158529B" w14:textId="5143CC4A" w:rsidR="00971CE4" w:rsidRPr="00B45F98" w:rsidRDefault="00B45F98">
      <w:pPr>
        <w:rPr>
          <w:highlight w:val="yellow"/>
          <w:shd w:val="clear" w:color="auto" w:fill="C0C0C0"/>
        </w:rPr>
      </w:pPr>
      <w:r w:rsidRPr="00B45F98">
        <w:rPr>
          <w:highlight w:val="yellow"/>
          <w:shd w:val="clear" w:color="auto" w:fill="C0C0C0"/>
        </w:rPr>
        <w:t xml:space="preserve">[polno uradno ime </w:t>
      </w:r>
      <w:r w:rsidR="00143CF5">
        <w:rPr>
          <w:highlight w:val="yellow"/>
          <w:shd w:val="clear" w:color="auto" w:fill="C0C0C0"/>
        </w:rPr>
        <w:t>partnerja</w:t>
      </w:r>
      <w:r w:rsidR="007B6E89" w:rsidRPr="00B45F98">
        <w:rPr>
          <w:highlight w:val="yellow"/>
          <w:shd w:val="clear" w:color="auto" w:fill="C0C0C0"/>
        </w:rPr>
        <w:t xml:space="preserve">] </w:t>
      </w:r>
    </w:p>
    <w:p w14:paraId="6465F1DA" w14:textId="6953C2C9" w:rsidR="00971CE4" w:rsidRPr="00B45F98" w:rsidRDefault="00E2271B">
      <w:pPr>
        <w:rPr>
          <w:highlight w:val="yellow"/>
          <w:shd w:val="clear" w:color="auto" w:fill="C0C0C0"/>
        </w:rPr>
      </w:pPr>
      <w:r w:rsidRPr="00B45F98">
        <w:rPr>
          <w:highlight w:val="yellow"/>
          <w:shd w:val="clear" w:color="auto" w:fill="C0C0C0"/>
        </w:rPr>
        <w:t>[p</w:t>
      </w:r>
      <w:r w:rsidR="007B6E89" w:rsidRPr="00B45F98">
        <w:rPr>
          <w:highlight w:val="yellow"/>
          <w:shd w:val="clear" w:color="auto" w:fill="C0C0C0"/>
        </w:rPr>
        <w:t>olni uradni naslov]</w:t>
      </w:r>
    </w:p>
    <w:p w14:paraId="35FC279D" w14:textId="0652A174" w:rsidR="00971CE4" w:rsidRPr="000D3FA6" w:rsidRDefault="007B6E89">
      <w:pPr>
        <w:rPr>
          <w:shd w:val="clear" w:color="auto" w:fill="C0C0C0"/>
        </w:rPr>
      </w:pPr>
      <w:r w:rsidRPr="00F31E85">
        <w:t>E</w:t>
      </w:r>
      <w:r w:rsidR="00F31E85" w:rsidRPr="00F31E85">
        <w:t xml:space="preserve">lektronski </w:t>
      </w:r>
      <w:r w:rsidRPr="00F31E85">
        <w:t>naslov</w:t>
      </w:r>
      <w:r w:rsidR="00F31E85" w:rsidRPr="00F31E85">
        <w:t xml:space="preserve"> kontaktne osebe</w:t>
      </w:r>
      <w:r w:rsidRPr="00F31E85">
        <w:t xml:space="preserve">: </w:t>
      </w:r>
      <w:r w:rsidRPr="00B45F98">
        <w:rPr>
          <w:highlight w:val="yellow"/>
          <w:shd w:val="clear" w:color="auto" w:fill="C0C0C0"/>
        </w:rPr>
        <w:t xml:space="preserve">[uradni e-poštni </w:t>
      </w:r>
      <w:r w:rsidR="00B45F98" w:rsidRPr="00B45F98">
        <w:rPr>
          <w:highlight w:val="yellow"/>
          <w:shd w:val="clear" w:color="auto" w:fill="C0C0C0"/>
        </w:rPr>
        <w:t xml:space="preserve">naslov </w:t>
      </w:r>
      <w:r w:rsidR="00143CF5">
        <w:rPr>
          <w:highlight w:val="yellow"/>
          <w:shd w:val="clear" w:color="auto" w:fill="C0C0C0"/>
        </w:rPr>
        <w:t>partnerja</w:t>
      </w:r>
      <w:r w:rsidRPr="00B45F98">
        <w:rPr>
          <w:highlight w:val="yellow"/>
          <w:shd w:val="clear" w:color="auto" w:fill="C0C0C0"/>
        </w:rPr>
        <w:t>]</w:t>
      </w:r>
    </w:p>
    <w:p w14:paraId="25888FB3" w14:textId="77777777" w:rsidR="00971CE4" w:rsidRPr="000D3FA6" w:rsidRDefault="00971CE4">
      <w:pPr>
        <w:ind w:left="284" w:hanging="284"/>
        <w:jc w:val="both"/>
        <w:rPr>
          <w:rFonts w:eastAsia="Calibri"/>
          <w:b/>
          <w:caps/>
        </w:rPr>
      </w:pPr>
    </w:p>
    <w:p w14:paraId="41BDF31A" w14:textId="46C192BC" w:rsidR="00971CE4" w:rsidRPr="000D3FA6" w:rsidRDefault="007B6E89">
      <w:pPr>
        <w:pStyle w:val="Heading1"/>
      </w:pPr>
      <w:r w:rsidRPr="000D3FA6">
        <w:t xml:space="preserve">ČLEN 8 - </w:t>
      </w:r>
      <w:bookmarkStart w:id="1" w:name="_Toc529786062"/>
      <w:r w:rsidRPr="000D3FA6">
        <w:rPr>
          <w:snapToGrid w:val="0"/>
        </w:rPr>
        <w:t>ZAŠČITA IN VARNOST UDELEŽENCEV</w:t>
      </w:r>
      <w:bookmarkEnd w:id="1"/>
      <w:r w:rsidRPr="000D3FA6">
        <w:rPr>
          <w:snapToGrid w:val="0"/>
        </w:rPr>
        <w:t xml:space="preserve"> </w:t>
      </w:r>
    </w:p>
    <w:p w14:paraId="2F2415B9" w14:textId="62BA6805" w:rsidR="00971CE4" w:rsidRPr="000D3FA6" w:rsidRDefault="007B6E89">
      <w:pPr>
        <w:jc w:val="both"/>
      </w:pPr>
      <w:r w:rsidRPr="000D3FA6">
        <w:t xml:space="preserve">Partner mora imeti vzpostavljene učinkovite postopke in ureditve za zagotavljanje varnosti </w:t>
      </w:r>
      <w:r w:rsidR="00E2271B">
        <w:t>ter</w:t>
      </w:r>
      <w:r w:rsidRPr="000D3FA6">
        <w:t xml:space="preserve"> zaščite udeležencev v njihovem projektu. Partner mora zagotoviti, da ima vsak udeleženec ustrezno zavarovanje za </w:t>
      </w:r>
      <w:r w:rsidR="00AA1FCE">
        <w:t>akti</w:t>
      </w:r>
      <w:r w:rsidRPr="000D3FA6">
        <w:t>vnosti, opisane v Prilogi II.</w:t>
      </w:r>
    </w:p>
    <w:p w14:paraId="1662158E" w14:textId="77777777" w:rsidR="00971CE4" w:rsidRPr="000D3FA6" w:rsidRDefault="00971CE4">
      <w:pPr>
        <w:jc w:val="both"/>
      </w:pPr>
    </w:p>
    <w:p w14:paraId="4BE196AB" w14:textId="32DE4E71" w:rsidR="00971CE4" w:rsidRPr="000D3FA6" w:rsidRDefault="007B6E89">
      <w:pPr>
        <w:jc w:val="both"/>
      </w:pPr>
      <w:r w:rsidRPr="000D3FA6">
        <w:t xml:space="preserve">Partner mora zagotoviti, da je vsak udeleženec v čezmejni </w:t>
      </w:r>
      <w:r w:rsidR="00AA1FCE">
        <w:t>akti</w:t>
      </w:r>
      <w:r w:rsidRPr="000D3FA6">
        <w:t>vnosti zavarovan z zavarovalno polico, ki jo zagotavlja Evropska solidarnostna enota za celotno obdobje bivanja v tujini.</w:t>
      </w:r>
    </w:p>
    <w:p w14:paraId="36521D4F" w14:textId="77777777" w:rsidR="00971CE4" w:rsidRPr="000D3FA6" w:rsidRDefault="00971CE4">
      <w:pPr>
        <w:jc w:val="both"/>
        <w:rPr>
          <w:i/>
          <w:snapToGrid w:val="0"/>
        </w:rPr>
      </w:pPr>
    </w:p>
    <w:p w14:paraId="073B3951" w14:textId="4EC8CB23" w:rsidR="00971CE4" w:rsidRPr="000D3FA6" w:rsidRDefault="00E2271B">
      <w:pPr>
        <w:pStyle w:val="Heading1"/>
        <w:keepNext w:val="0"/>
        <w:suppressAutoHyphens/>
        <w:spacing w:before="0" w:after="200"/>
        <w:jc w:val="both"/>
      </w:pPr>
      <w:bookmarkStart w:id="2" w:name="_Toc529786063"/>
      <w:r>
        <w:t xml:space="preserve">ČLEN 9 </w:t>
      </w:r>
      <w:r w:rsidR="007B6E89" w:rsidRPr="000D3FA6">
        <w:t>- DODATNE DOLOČBE O UPORABI REZULTATOV (VKLJUČNO S PRAVICAMI INTELEKTUALNE IN INDUSTRIJSKE LASTNINE)</w:t>
      </w:r>
      <w:bookmarkEnd w:id="2"/>
    </w:p>
    <w:p w14:paraId="06129532" w14:textId="051AFC1E" w:rsidR="00971CE4" w:rsidRPr="000D3FA6" w:rsidRDefault="007B6E89">
      <w:pPr>
        <w:jc w:val="both"/>
      </w:pPr>
      <w:r w:rsidRPr="000D3FA6">
        <w:t>Poleg določbe iz člena II.9.3, če partner izdeluje izobraževalna gradiva v okviru projekta, morajo biti takšni materiali dostopni prek interneta, brezplačno in z odprtimi licencami</w:t>
      </w:r>
      <w:r w:rsidRPr="000D3FA6">
        <w:rPr>
          <w:rStyle w:val="Voetnoottekens"/>
        </w:rPr>
        <w:footnoteReference w:id="5"/>
      </w:r>
      <w:r w:rsidRPr="000D3FA6">
        <w:t>.</w:t>
      </w:r>
    </w:p>
    <w:p w14:paraId="11F25E8E" w14:textId="77777777" w:rsidR="00971CE4" w:rsidRPr="000D3FA6" w:rsidRDefault="00971CE4">
      <w:pPr>
        <w:jc w:val="both"/>
      </w:pPr>
    </w:p>
    <w:p w14:paraId="2E324842" w14:textId="1F510ADA" w:rsidR="00971CE4" w:rsidRPr="000D3FA6" w:rsidRDefault="007B6E89">
      <w:pPr>
        <w:pStyle w:val="Heading1"/>
        <w:keepNext w:val="0"/>
        <w:suppressAutoHyphens/>
        <w:spacing w:before="0" w:after="200" w:line="276" w:lineRule="auto"/>
        <w:ind w:left="357" w:hanging="357"/>
        <w:jc w:val="both"/>
      </w:pPr>
      <w:bookmarkStart w:id="3" w:name="_Toc529786064"/>
      <w:r w:rsidRPr="000D3FA6">
        <w:t xml:space="preserve">ČLEN 10 - UPORABA </w:t>
      </w:r>
      <w:bookmarkEnd w:id="3"/>
      <w:r w:rsidR="00AA1FCE">
        <w:t>ORODIJ IT</w:t>
      </w:r>
    </w:p>
    <w:p w14:paraId="5A0AC90B" w14:textId="5745D856" w:rsidR="00971CE4" w:rsidRPr="000D3FA6" w:rsidRDefault="007B6E89">
      <w:pPr>
        <w:pStyle w:val="Heading2"/>
        <w:rPr>
          <w:sz w:val="24"/>
        </w:rPr>
      </w:pPr>
      <w:bookmarkStart w:id="4" w:name="_Toc529786065"/>
      <w:r w:rsidRPr="000D3FA6">
        <w:rPr>
          <w:sz w:val="24"/>
        </w:rPr>
        <w:lastRenderedPageBreak/>
        <w:t>10.1 Orodje za mobilnost Mobility Tool+</w:t>
      </w:r>
      <w:bookmarkEnd w:id="4"/>
    </w:p>
    <w:p w14:paraId="6ACF8642" w14:textId="77777777" w:rsidR="00971CE4" w:rsidRPr="000D3FA6" w:rsidRDefault="00971CE4">
      <w:pPr>
        <w:jc w:val="both"/>
        <w:rPr>
          <w:b/>
        </w:rPr>
      </w:pPr>
    </w:p>
    <w:p w14:paraId="5428414F" w14:textId="6A4BB8AA" w:rsidR="00971CE4" w:rsidRPr="000D3FA6" w:rsidRDefault="007B6E89">
      <w:pPr>
        <w:jc w:val="both"/>
      </w:pPr>
      <w:r w:rsidRPr="000D3FA6">
        <w:t xml:space="preserve">Partner mora uporabiti spletno orodje Mobility Tool +, da beleži vse informacije v zvezi z </w:t>
      </w:r>
      <w:r w:rsidR="00E2271B">
        <w:t>aktivn</w:t>
      </w:r>
      <w:r w:rsidRPr="000D3FA6">
        <w:t xml:space="preserve">ostmi, ki se izvajajo v okviru projekta, ter izpolni in predloži poročilo o napredku, vmesno poročilo (če je na voljo v orodju za mobilnost </w:t>
      </w:r>
      <w:r w:rsidR="00E2271B">
        <w:t>Mobility Tool</w:t>
      </w:r>
      <w:r w:rsidRPr="000D3FA6">
        <w:t>+ in za primere, določene v členu 4.3) in končno poročilo.</w:t>
      </w:r>
    </w:p>
    <w:p w14:paraId="275E5E8C" w14:textId="0A57F26E" w:rsidR="00971CE4" w:rsidRPr="000D3FA6" w:rsidRDefault="007B6E89">
      <w:pPr>
        <w:pStyle w:val="Heading2"/>
        <w:rPr>
          <w:sz w:val="24"/>
        </w:rPr>
      </w:pPr>
      <w:bookmarkStart w:id="5" w:name="_Toc529786066"/>
      <w:r w:rsidRPr="000D3FA6">
        <w:rPr>
          <w:sz w:val="24"/>
        </w:rPr>
        <w:t xml:space="preserve">10.2 </w:t>
      </w:r>
      <w:bookmarkEnd w:id="5"/>
      <w:r w:rsidR="00E47622" w:rsidRPr="00E47622">
        <w:rPr>
          <w:sz w:val="24"/>
        </w:rPr>
        <w:t>Platforma projektnih rezultatov Evropske solidarnostne enote</w:t>
      </w:r>
    </w:p>
    <w:p w14:paraId="6A5DFB72" w14:textId="19E8773F" w:rsidR="00971CE4" w:rsidRPr="00985074" w:rsidRDefault="00040EEF" w:rsidP="00985074">
      <w:pPr>
        <w:suppressAutoHyphens/>
        <w:spacing w:after="200" w:line="276" w:lineRule="auto"/>
        <w:rPr>
          <w:rFonts w:eastAsiaTheme="minorHAnsi"/>
          <w:color w:val="000000" w:themeColor="text1"/>
          <w:szCs w:val="22"/>
          <w:lang w:val="en-GB" w:eastAsia="en-US"/>
        </w:rPr>
      </w:pPr>
      <w:r>
        <w:rPr>
          <w:rFonts w:eastAsia="Calibri"/>
          <w:color w:val="000000" w:themeColor="text1"/>
          <w:szCs w:val="22"/>
          <w:lang w:val="en-GB" w:eastAsia="ar-SA"/>
        </w:rPr>
        <w:t>Partner</w:t>
      </w:r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lahko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za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razširjanje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rezultatov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projekta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uporabi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platformo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projektnih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rezultatov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Evropske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solidarnostne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enote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v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skladu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z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navodili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,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ki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so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na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voljo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na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 </w:t>
      </w:r>
      <w:proofErr w:type="spellStart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>platformi</w:t>
      </w:r>
      <w:proofErr w:type="spellEnd"/>
      <w:r w:rsidR="00E47622" w:rsidRPr="00E47622">
        <w:rPr>
          <w:rFonts w:eastAsia="Calibri"/>
          <w:color w:val="000000" w:themeColor="text1"/>
          <w:szCs w:val="22"/>
          <w:lang w:val="en-GB" w:eastAsia="ar-SA"/>
        </w:rPr>
        <w:t xml:space="preserve">. </w:t>
      </w:r>
    </w:p>
    <w:p w14:paraId="7C631B1F" w14:textId="69F9C113" w:rsidR="00971CE4" w:rsidRDefault="007B6E89">
      <w:pPr>
        <w:pStyle w:val="Heading2"/>
        <w:rPr>
          <w:sz w:val="24"/>
        </w:rPr>
      </w:pPr>
      <w:bookmarkStart w:id="6" w:name="_Toc529785734"/>
      <w:bookmarkStart w:id="7" w:name="_Toc529786067"/>
      <w:bookmarkStart w:id="8" w:name="_Toc529785735"/>
      <w:bookmarkStart w:id="9" w:name="_Toc529786068"/>
      <w:bookmarkEnd w:id="6"/>
      <w:bookmarkEnd w:id="7"/>
      <w:bookmarkEnd w:id="8"/>
      <w:bookmarkEnd w:id="9"/>
      <w:r w:rsidRPr="000D3FA6">
        <w:rPr>
          <w:sz w:val="24"/>
        </w:rPr>
        <w:t>10.3 Portal Evropske solidarnostne enote</w:t>
      </w:r>
      <w:bookmarkStart w:id="10" w:name="_Toc529785736"/>
      <w:bookmarkStart w:id="11" w:name="_Toc529786069"/>
      <w:bookmarkEnd w:id="10"/>
      <w:bookmarkEnd w:id="11"/>
    </w:p>
    <w:p w14:paraId="2D70E46C" w14:textId="77777777" w:rsidR="00E47622" w:rsidRPr="00E47622" w:rsidRDefault="00E47622" w:rsidP="00E47622">
      <w:pPr>
        <w:rPr>
          <w:lang w:eastAsia="en-US"/>
        </w:rPr>
      </w:pPr>
    </w:p>
    <w:p w14:paraId="638A734F" w14:textId="7A427B2B" w:rsidR="00E47622" w:rsidRPr="00E47622" w:rsidRDefault="00040EEF" w:rsidP="00E47622">
      <w:pPr>
        <w:suppressAutoHyphens/>
        <w:spacing w:after="200" w:line="276" w:lineRule="auto"/>
        <w:rPr>
          <w:rFonts w:eastAsia="Calibri"/>
          <w:szCs w:val="22"/>
          <w:lang w:eastAsia="ar-SA"/>
        </w:rPr>
      </w:pPr>
      <w:bookmarkStart w:id="12" w:name="_Toc529785738"/>
      <w:bookmarkStart w:id="13" w:name="_Toc529786071"/>
      <w:bookmarkEnd w:id="12"/>
      <w:bookmarkEnd w:id="13"/>
      <w:r>
        <w:rPr>
          <w:rFonts w:eastAsia="Calibri"/>
          <w:szCs w:val="22"/>
          <w:lang w:eastAsia="ar-SA"/>
        </w:rPr>
        <w:t>Partner</w:t>
      </w:r>
      <w:r w:rsidR="00E47622" w:rsidRPr="00E47622">
        <w:rPr>
          <w:rFonts w:eastAsia="Calibri"/>
          <w:szCs w:val="22"/>
          <w:lang w:eastAsia="ar-SA"/>
        </w:rPr>
        <w:t xml:space="preserve"> mora izbrati svoje udeležence iz  portala Evropske solidarnostne enote, tako da pošlje ponudbo prek sistema za upravljanje in podporo napotitev (Placement  Administration and Support System - PASS).</w:t>
      </w:r>
    </w:p>
    <w:p w14:paraId="3624D225" w14:textId="77777777" w:rsidR="00E47622" w:rsidRPr="00E47622" w:rsidRDefault="00E47622" w:rsidP="00E47622">
      <w:pPr>
        <w:rPr>
          <w:lang w:eastAsia="en-US"/>
        </w:rPr>
      </w:pPr>
    </w:p>
    <w:p w14:paraId="1C835525" w14:textId="4423D629" w:rsidR="00971CE4" w:rsidRPr="000D3FA6" w:rsidRDefault="007B6E89">
      <w:pPr>
        <w:pStyle w:val="Heading1"/>
        <w:keepNext w:val="0"/>
        <w:tabs>
          <w:tab w:val="left" w:pos="1701"/>
        </w:tabs>
        <w:suppressAutoHyphens/>
        <w:spacing w:before="0" w:after="200" w:line="276" w:lineRule="auto"/>
        <w:ind w:left="357" w:hanging="357"/>
      </w:pPr>
      <w:bookmarkStart w:id="14" w:name="_Toc529786072"/>
      <w:r w:rsidRPr="000D3FA6">
        <w:t>ČLEN 11 - DODATNE DOLOČBE O PODIZVAJANJU</w:t>
      </w:r>
      <w:bookmarkEnd w:id="14"/>
      <w:r w:rsidRPr="000D3FA6">
        <w:t xml:space="preserve"> </w:t>
      </w:r>
    </w:p>
    <w:p w14:paraId="6C8DFD53" w14:textId="03421CD1" w:rsidR="00971CE4" w:rsidRPr="000D3FA6" w:rsidRDefault="007B6E89">
      <w:pPr>
        <w:jc w:val="both"/>
      </w:pPr>
      <w:r w:rsidRPr="000D3FA6">
        <w:t xml:space="preserve">Z odstopanjem se določbe iz točk (c) in (d) člena II.11.1 ne uporabljajo. </w:t>
      </w:r>
    </w:p>
    <w:p w14:paraId="67C9CD81" w14:textId="77777777" w:rsidR="00971CE4" w:rsidRPr="000D3FA6" w:rsidRDefault="00971CE4">
      <w:pPr>
        <w:jc w:val="both"/>
      </w:pPr>
    </w:p>
    <w:p w14:paraId="43DDB9D6" w14:textId="587DA94E" w:rsidR="00971CE4" w:rsidRPr="000D3FA6" w:rsidRDefault="007B6E89">
      <w:pPr>
        <w:pStyle w:val="Heading1"/>
        <w:keepNext w:val="0"/>
        <w:tabs>
          <w:tab w:val="left" w:pos="1701"/>
        </w:tabs>
        <w:suppressAutoHyphens/>
        <w:spacing w:before="0" w:after="200" w:line="276" w:lineRule="auto"/>
        <w:ind w:left="357" w:hanging="357"/>
        <w:jc w:val="both"/>
      </w:pPr>
      <w:bookmarkStart w:id="15" w:name="_Toc529786073"/>
      <w:r w:rsidRPr="000D3FA6">
        <w:t xml:space="preserve">ČLEN 12 - DODATNA DOLOČBA O </w:t>
      </w:r>
      <w:r w:rsidR="00DF1023">
        <w:t>PREPOZNAVNOSTI</w:t>
      </w:r>
      <w:r w:rsidRPr="000D3FA6">
        <w:t xml:space="preserve"> FINANCIRANJA UNIJE</w:t>
      </w:r>
      <w:bookmarkEnd w:id="15"/>
    </w:p>
    <w:p w14:paraId="295F116D" w14:textId="10010D6C" w:rsidR="00971CE4" w:rsidRPr="000D3FA6" w:rsidRDefault="00E2271B">
      <w:pPr>
        <w:jc w:val="both"/>
      </w:pPr>
      <w:r>
        <w:t>Brez poseganja v člen II.8</w:t>
      </w:r>
      <w:r w:rsidR="007B6E89" w:rsidRPr="000D3FA6">
        <w:t xml:space="preserve"> mora partner </w:t>
      </w:r>
      <w:r>
        <w:t>potrditi</w:t>
      </w:r>
      <w:r w:rsidR="007B6E89" w:rsidRPr="000D3FA6">
        <w:t xml:space="preserve"> podporo, ki jo je prejel v okviru Evropske solidarnosti v vseh komunikacijskih in promocijskih materialih, vključno s spletnimi stranmi in </w:t>
      </w:r>
      <w:r>
        <w:t>družbenimi omrežji</w:t>
      </w:r>
      <w:r w:rsidR="007B6E89" w:rsidRPr="000D3FA6">
        <w:t xml:space="preserve">. Smernice za partnerje in tretje osebe so na voljo na naslovu </w:t>
      </w:r>
    </w:p>
    <w:p w14:paraId="2C2F16C4" w14:textId="18B5C2DB" w:rsidR="00971CE4" w:rsidRDefault="00350581">
      <w:pPr>
        <w:jc w:val="both"/>
        <w:rPr>
          <w:rStyle w:val="Hyperlink"/>
        </w:rPr>
      </w:pPr>
      <w:hyperlink r:id="rId14" w:history="1">
        <w:r w:rsidR="007B6E89" w:rsidRPr="000D3FA6">
          <w:rPr>
            <w:rStyle w:val="Hyperlink"/>
            <w:color w:val="000000"/>
          </w:rPr>
          <w:t>https://ec.europa.eu/youth/solidarity-corps/resources-and-contacts_en</w:t>
        </w:r>
      </w:hyperlink>
      <w:r w:rsidR="007B6E89" w:rsidRPr="000D3FA6">
        <w:rPr>
          <w:rStyle w:val="Hyperlink"/>
        </w:rPr>
        <w:t>.</w:t>
      </w:r>
      <w:r w:rsidR="00E2271B">
        <w:rPr>
          <w:rStyle w:val="Hyperlink"/>
        </w:rPr>
        <w:t xml:space="preserve"> </w:t>
      </w:r>
    </w:p>
    <w:p w14:paraId="54E13476" w14:textId="77777777" w:rsidR="00971CE4" w:rsidRPr="000D3FA6" w:rsidRDefault="00971CE4">
      <w:pPr>
        <w:jc w:val="both"/>
      </w:pPr>
    </w:p>
    <w:p w14:paraId="4CC10233" w14:textId="071865B6" w:rsidR="00971CE4" w:rsidRPr="000D3FA6" w:rsidRDefault="00E2271B">
      <w:pPr>
        <w:pStyle w:val="Heading1"/>
        <w:keepNext w:val="0"/>
        <w:tabs>
          <w:tab w:val="left" w:pos="1701"/>
        </w:tabs>
        <w:suppressAutoHyphens/>
        <w:spacing w:before="0" w:after="200" w:line="276" w:lineRule="auto"/>
        <w:ind w:left="357" w:hanging="357"/>
      </w:pPr>
      <w:bookmarkStart w:id="16" w:name="_Toc529786074"/>
      <w:r>
        <w:t xml:space="preserve">ČLEN 13 </w:t>
      </w:r>
      <w:r w:rsidR="007B6E89" w:rsidRPr="000D3FA6">
        <w:t>- PODPORA UDELEŽENCEV</w:t>
      </w:r>
      <w:bookmarkEnd w:id="16"/>
    </w:p>
    <w:p w14:paraId="74BFA4D0" w14:textId="36F59ABC" w:rsidR="00971CE4" w:rsidRPr="000D3FA6" w:rsidRDefault="007B6E89">
      <w:pPr>
        <w:pStyle w:val="Heading1"/>
        <w:rPr>
          <w:b w:val="0"/>
        </w:rPr>
      </w:pPr>
      <w:r w:rsidRPr="000D3FA6">
        <w:rPr>
          <w:b w:val="0"/>
        </w:rPr>
        <w:t xml:space="preserve">Če </w:t>
      </w:r>
      <w:r w:rsidRPr="00496B88">
        <w:rPr>
          <w:b w:val="0"/>
        </w:rPr>
        <w:t xml:space="preserve">mora </w:t>
      </w:r>
      <w:r w:rsidR="00040EEF">
        <w:rPr>
          <w:b w:val="0"/>
        </w:rPr>
        <w:t>partner</w:t>
      </w:r>
      <w:r w:rsidRPr="000D3FA6">
        <w:rPr>
          <w:b w:val="0"/>
        </w:rPr>
        <w:t xml:space="preserve"> med izvajanjem projekta nuditi podporo mladim udeležencem, mora </w:t>
      </w:r>
      <w:r w:rsidR="00F00B3E">
        <w:rPr>
          <w:b w:val="0"/>
        </w:rPr>
        <w:t>nuditi</w:t>
      </w:r>
      <w:r w:rsidRPr="000D3FA6">
        <w:rPr>
          <w:b w:val="0"/>
        </w:rPr>
        <w:t xml:space="preserve"> takšno podporo v skladu s pogoji, določenimi v Prilogi II in Prilogi V (če </w:t>
      </w:r>
      <w:r w:rsidR="00E2271B">
        <w:rPr>
          <w:b w:val="0"/>
        </w:rPr>
        <w:t>se uporablja</w:t>
      </w:r>
      <w:r w:rsidRPr="000D3FA6">
        <w:rPr>
          <w:b w:val="0"/>
        </w:rPr>
        <w:t xml:space="preserve">). </w:t>
      </w:r>
    </w:p>
    <w:p w14:paraId="0C7F643B" w14:textId="77777777" w:rsidR="00971CE4" w:rsidRPr="000D3FA6" w:rsidRDefault="00971CE4">
      <w:pPr>
        <w:tabs>
          <w:tab w:val="left" w:pos="0"/>
        </w:tabs>
        <w:adjustRightInd w:val="0"/>
        <w:jc w:val="both"/>
      </w:pPr>
    </w:p>
    <w:p w14:paraId="1D4CE2D6" w14:textId="68C34854" w:rsidR="00971CE4" w:rsidRPr="000D3FA6" w:rsidRDefault="007B6E89">
      <w:pPr>
        <w:jc w:val="both"/>
      </w:pPr>
      <w:r w:rsidRPr="000D3FA6">
        <w:t xml:space="preserve">V skladu z dokumenti iz Priloge V mora </w:t>
      </w:r>
      <w:r w:rsidR="00040EEF">
        <w:rPr>
          <w:shd w:val="clear" w:color="auto" w:fill="FFFFFF" w:themeFill="background1"/>
        </w:rPr>
        <w:t>partner</w:t>
      </w:r>
      <w:r w:rsidRPr="00496B88">
        <w:rPr>
          <w:shd w:val="clear" w:color="auto" w:fill="FFFFFF" w:themeFill="background1"/>
        </w:rPr>
        <w:t>:</w:t>
      </w:r>
    </w:p>
    <w:p w14:paraId="29A6EF41" w14:textId="63A740FA" w:rsidR="00971CE4" w:rsidRPr="000D3FA6" w:rsidRDefault="00E2271B">
      <w:pPr>
        <w:pStyle w:val="ListDash"/>
      </w:pPr>
      <w:r>
        <w:t xml:space="preserve">V </w:t>
      </w:r>
      <w:r w:rsidRPr="000D3FA6">
        <w:t xml:space="preserve">celoti </w:t>
      </w:r>
      <w:r>
        <w:t>p</w:t>
      </w:r>
      <w:r w:rsidR="007B6E89" w:rsidRPr="000D3FA6">
        <w:t xml:space="preserve">renesti finančno podporo za proračunske kategorije </w:t>
      </w:r>
      <w:r>
        <w:t>žepnina</w:t>
      </w:r>
      <w:r w:rsidR="007B6E89" w:rsidRPr="000D3FA6">
        <w:t>/</w:t>
      </w:r>
      <w:r>
        <w:t xml:space="preserve">dodatek za </w:t>
      </w:r>
      <w:r w:rsidR="00E47622">
        <w:t>selitev</w:t>
      </w:r>
      <w:r w:rsidR="007B6E89" w:rsidRPr="000D3FA6">
        <w:t xml:space="preserve"> </w:t>
      </w:r>
      <w:r>
        <w:t>mladih udeležencev</w:t>
      </w:r>
      <w:r w:rsidR="007B6E89" w:rsidRPr="000D3FA6">
        <w:t>, pri čemer se uporabijo stopnje za prispevke na enoto, kot je določeno v Prilogi IV;</w:t>
      </w:r>
    </w:p>
    <w:p w14:paraId="04355D58" w14:textId="77777777" w:rsidR="00971CE4" w:rsidRPr="000D3FA6" w:rsidRDefault="007B6E89">
      <w:pPr>
        <w:pStyle w:val="ListDash"/>
        <w:numPr>
          <w:ilvl w:val="0"/>
          <w:numId w:val="0"/>
        </w:numPr>
        <w:ind w:left="283"/>
      </w:pPr>
      <w:r w:rsidRPr="000D3FA6">
        <w:t>In</w:t>
      </w:r>
    </w:p>
    <w:p w14:paraId="0E4AAC73" w14:textId="2DA8A962" w:rsidR="00971CE4" w:rsidRPr="000D3FA6" w:rsidRDefault="00E47622" w:rsidP="00E47622">
      <w:pPr>
        <w:pStyle w:val="ListDash"/>
      </w:pPr>
      <w:r w:rsidRPr="00E47622">
        <w:t>Ali nakaže finančno podporo za proračunske kategorije potovanja in jezikovno podporo v celoti mladim udeležencem, pri čemer se uporabijo stopnje za prispevke na enoto, kot je določeno v Prilogi IV;</w:t>
      </w:r>
    </w:p>
    <w:p w14:paraId="7001E873" w14:textId="65E82EC1" w:rsidR="00E47622" w:rsidRPr="00E47622" w:rsidRDefault="00E47622" w:rsidP="00E47622">
      <w:pPr>
        <w:pStyle w:val="ListDash"/>
        <w:numPr>
          <w:ilvl w:val="0"/>
          <w:numId w:val="0"/>
        </w:numPr>
      </w:pPr>
      <w:r w:rsidRPr="00E47622">
        <w:t>–</w:t>
      </w:r>
      <w:r w:rsidRPr="00E47622">
        <w:tab/>
        <w:t xml:space="preserve">ali zagotovi podporo proračunskim kategorijam potovanja in jezikovne podpore mladim udeležencem v obliki zagotavljanja potrebnih storitev podpore za potovanje potovalne/jezikovne </w:t>
      </w:r>
      <w:r w:rsidRPr="00E47622">
        <w:lastRenderedPageBreak/>
        <w:t>podpore. V takem primeru mora partner zagotoviti, da bo zagotavljanje podpore za potovanje/jezikovne podpore izpolnjevalo potrebne standarde kakovosti in varnosti.</w:t>
      </w:r>
    </w:p>
    <w:p w14:paraId="5B592656" w14:textId="4BD825F1" w:rsidR="00971CE4" w:rsidRPr="000D3FA6" w:rsidRDefault="00040EEF">
      <w:pPr>
        <w:pStyle w:val="ListDash"/>
        <w:numPr>
          <w:ilvl w:val="0"/>
          <w:numId w:val="0"/>
        </w:numPr>
        <w:rPr>
          <w:highlight w:val="lightGray"/>
          <w:shd w:val="clear" w:color="auto" w:fill="00FFFF"/>
        </w:rPr>
      </w:pPr>
      <w:r>
        <w:t>Partner</w:t>
      </w:r>
      <w:r w:rsidR="007B6E89" w:rsidRPr="00496B88">
        <w:t xml:space="preserve"> lahko</w:t>
      </w:r>
      <w:r w:rsidR="007B6E89" w:rsidRPr="000D3FA6">
        <w:t xml:space="preserve"> združi obe možnosti iz prejšnjega odstavka, če zagotavljata pošteno in enako obravnavo vseh udeležencev. V takem primeru morajo biti pogoji, ki veljajo za vsako možnost, uporabljeni za proračunske kategorije, za katere se uporablja zadevna možnost.</w:t>
      </w:r>
    </w:p>
    <w:p w14:paraId="32540C72" w14:textId="6716BEA7" w:rsidR="005C5D3D" w:rsidRPr="005C5D3D" w:rsidRDefault="007B6E89" w:rsidP="005C5D3D">
      <w:pPr>
        <w:pStyle w:val="Heading1"/>
        <w:jc w:val="both"/>
      </w:pPr>
      <w:bookmarkStart w:id="17" w:name="_Toc529786075"/>
      <w:r w:rsidRPr="000D3FA6">
        <w:t xml:space="preserve">ČLEN 14 - SPREMEMBE SPORAZUMA O DODELITVI SREDSTEV BREZ </w:t>
      </w:r>
      <w:bookmarkEnd w:id="17"/>
      <w:r w:rsidR="005C5D3D">
        <w:t>DOPOLNILA</w:t>
      </w:r>
    </w:p>
    <w:p w14:paraId="0048AED3" w14:textId="76230E36" w:rsidR="00971CE4" w:rsidRPr="000D3FA6" w:rsidRDefault="00040EEF">
      <w:pPr>
        <w:jc w:val="both"/>
      </w:pPr>
      <w:r>
        <w:t>Partner</w:t>
      </w:r>
      <w:r w:rsidR="007B6E89" w:rsidRPr="000D3FA6">
        <w:t xml:space="preserve"> lahko spremeni poseb</w:t>
      </w:r>
      <w:r w:rsidR="005C5D3D">
        <w:t xml:space="preserve">ni sporazum, ne da bi zahteval </w:t>
      </w:r>
      <w:r w:rsidR="00180E1F">
        <w:t>spremembo</w:t>
      </w:r>
      <w:r w:rsidR="007B6E89" w:rsidRPr="000D3FA6">
        <w:t>, pod pogojem, da:</w:t>
      </w:r>
    </w:p>
    <w:p w14:paraId="7F679370" w14:textId="77777777" w:rsidR="00971CE4" w:rsidRPr="000D3FA6" w:rsidRDefault="00971CE4">
      <w:pPr>
        <w:pStyle w:val="paragraph"/>
        <w:numPr>
          <w:ilvl w:val="0"/>
          <w:numId w:val="0"/>
        </w:numPr>
        <w:ind w:left="284"/>
      </w:pPr>
    </w:p>
    <w:p w14:paraId="43903822" w14:textId="54C2A768" w:rsidR="00971CE4" w:rsidRPr="000D3FA6" w:rsidRDefault="007B6E89">
      <w:pPr>
        <w:pStyle w:val="paragraph"/>
        <w:numPr>
          <w:ilvl w:val="0"/>
          <w:numId w:val="17"/>
        </w:numPr>
        <w:rPr>
          <w:b/>
        </w:rPr>
      </w:pPr>
      <w:r w:rsidRPr="000D3FA6">
        <w:rPr>
          <w:rFonts w:eastAsia="Calibri"/>
          <w:snapToGrid/>
        </w:rPr>
        <w:t>se projekt izvaja v skladu z odobreno prijavo projekta in splošnimi cilji, opisanimi v Prilogi II,</w:t>
      </w:r>
      <w:r w:rsidRPr="000D3FA6">
        <w:rPr>
          <w:color w:val="1F497D"/>
        </w:rPr>
        <w:t xml:space="preserve"> </w:t>
      </w:r>
    </w:p>
    <w:p w14:paraId="0EC64F97" w14:textId="77777777" w:rsidR="00971CE4" w:rsidRPr="000D3FA6" w:rsidRDefault="00971CE4">
      <w:pPr>
        <w:pStyle w:val="paragraph"/>
        <w:numPr>
          <w:ilvl w:val="0"/>
          <w:numId w:val="0"/>
        </w:numPr>
        <w:ind w:left="644"/>
        <w:rPr>
          <w:b/>
        </w:rPr>
      </w:pPr>
    </w:p>
    <w:p w14:paraId="68E80229" w14:textId="77777777" w:rsidR="00971CE4" w:rsidRPr="000D3FA6" w:rsidRDefault="007B6E89">
      <w:pPr>
        <w:pStyle w:val="paragraph"/>
        <w:numPr>
          <w:ilvl w:val="0"/>
          <w:numId w:val="17"/>
        </w:numPr>
        <w:rPr>
          <w:rFonts w:eastAsia="Calibri"/>
          <w:snapToGrid/>
        </w:rPr>
      </w:pPr>
      <w:r w:rsidRPr="000D3FA6">
        <w:rPr>
          <w:rFonts w:eastAsia="Calibri"/>
          <w:snapToGrid/>
        </w:rPr>
        <w:t>in se upoštevajo naslednja posebna pravila:</w:t>
      </w:r>
    </w:p>
    <w:p w14:paraId="27A7C27A" w14:textId="77777777" w:rsidR="00971CE4" w:rsidRPr="000D3FA6" w:rsidRDefault="00971CE4">
      <w:pPr>
        <w:jc w:val="both"/>
      </w:pPr>
    </w:p>
    <w:p w14:paraId="647B71A1" w14:textId="6243868B" w:rsidR="00971CE4" w:rsidRPr="000D3FA6" w:rsidRDefault="00040EEF">
      <w:pPr>
        <w:pStyle w:val="ListParagraph"/>
        <w:numPr>
          <w:ilvl w:val="0"/>
          <w:numId w:val="21"/>
        </w:numPr>
        <w:contextualSpacing w:val="0"/>
        <w:jc w:val="both"/>
      </w:pPr>
      <w:r>
        <w:t>Partner</w:t>
      </w:r>
      <w:r w:rsidR="007B6E89" w:rsidRPr="000D3FA6">
        <w:t xml:space="preserve"> lahko prosto spremeni trajanje </w:t>
      </w:r>
      <w:r w:rsidR="005C5D3D">
        <w:t>akti</w:t>
      </w:r>
      <w:r w:rsidR="007B6E89" w:rsidRPr="000D3FA6">
        <w:t xml:space="preserve">vnosti, dokler se spoštujejo minimalna in </w:t>
      </w:r>
      <w:r w:rsidR="005C5D3D">
        <w:t>maksimalna obdobja, določena v V</w:t>
      </w:r>
      <w:r w:rsidR="007B6E89" w:rsidRPr="000D3FA6">
        <w:t xml:space="preserve">odniku Evropske solidarnostne enote, in da se vrsta </w:t>
      </w:r>
      <w:r w:rsidR="005C5D3D">
        <w:t>akti</w:t>
      </w:r>
      <w:r w:rsidR="007B6E89" w:rsidRPr="000D3FA6">
        <w:t xml:space="preserve">vnosti ne spremeni; </w:t>
      </w:r>
    </w:p>
    <w:p w14:paraId="6EC32226" w14:textId="77777777" w:rsidR="00971CE4" w:rsidRPr="000D3FA6" w:rsidRDefault="00971CE4">
      <w:pPr>
        <w:pStyle w:val="ListParagraph"/>
        <w:jc w:val="both"/>
      </w:pPr>
    </w:p>
    <w:p w14:paraId="02F136E0" w14:textId="00DD9203" w:rsidR="00971CE4" w:rsidRPr="000D3FA6" w:rsidRDefault="00040EEF">
      <w:pPr>
        <w:pStyle w:val="ListParagraph"/>
        <w:numPr>
          <w:ilvl w:val="0"/>
          <w:numId w:val="21"/>
        </w:numPr>
        <w:contextualSpacing w:val="0"/>
        <w:jc w:val="both"/>
      </w:pPr>
      <w:r>
        <w:t>Partner</w:t>
      </w:r>
      <w:r w:rsidR="007B6E89" w:rsidRPr="000D3FA6">
        <w:t xml:space="preserve"> lahko prosto spreminja tokove udeležencev, če se upošteva</w:t>
      </w:r>
      <w:r w:rsidR="005C5D3D">
        <w:t>jo ustrezna merila, določena v V</w:t>
      </w:r>
      <w:r w:rsidR="007B6E89" w:rsidRPr="000D3FA6">
        <w:t xml:space="preserve">odniku Evropske solidarnostne enote za ustrezne </w:t>
      </w:r>
      <w:r w:rsidR="005C5D3D">
        <w:t>akti</w:t>
      </w:r>
      <w:r w:rsidR="007B6E89" w:rsidRPr="000D3FA6">
        <w:t>vnosti.</w:t>
      </w:r>
    </w:p>
    <w:p w14:paraId="7A9058B4" w14:textId="04614796" w:rsidR="00971CE4" w:rsidRPr="000D3FA6" w:rsidRDefault="007B6E89">
      <w:pPr>
        <w:pStyle w:val="Heading1"/>
        <w:rPr>
          <w:noProof/>
          <w:snapToGrid w:val="0"/>
        </w:rPr>
      </w:pPr>
      <w:bookmarkStart w:id="18" w:name="_Toc529786076"/>
      <w:r w:rsidRPr="000D3FA6">
        <w:t xml:space="preserve">ČLEN 15 - </w:t>
      </w:r>
      <w:r w:rsidRPr="000D3FA6">
        <w:rPr>
          <w:snapToGrid w:val="0"/>
        </w:rPr>
        <w:t>SOGLASJE STARŠEV/SKRBNIKOV</w:t>
      </w:r>
      <w:bookmarkEnd w:id="18"/>
      <w:r w:rsidRPr="000D3FA6">
        <w:rPr>
          <w:snapToGrid w:val="0"/>
        </w:rPr>
        <w:t xml:space="preserve"> </w:t>
      </w:r>
    </w:p>
    <w:p w14:paraId="0EA7F5CB" w14:textId="08799472" w:rsidR="00971CE4" w:rsidRPr="000D3FA6" w:rsidRDefault="007B6E89">
      <w:pPr>
        <w:jc w:val="both"/>
      </w:pPr>
      <w:r w:rsidRPr="000D3FA6">
        <w:t>se ne uporablja</w:t>
      </w:r>
    </w:p>
    <w:p w14:paraId="3B73A8D1" w14:textId="1CFBE3EA" w:rsidR="00971CE4" w:rsidRPr="000D3FA6" w:rsidRDefault="007B6E89">
      <w:pPr>
        <w:pStyle w:val="Heading1"/>
        <w:jc w:val="both"/>
        <w:rPr>
          <w:noProof/>
          <w:snapToGrid w:val="0"/>
        </w:rPr>
      </w:pPr>
      <w:bookmarkStart w:id="19" w:name="_Toc529786077"/>
      <w:r w:rsidRPr="000D3FA6">
        <w:t xml:space="preserve">ČLEN 16 - </w:t>
      </w:r>
      <w:r w:rsidRPr="000D3FA6">
        <w:rPr>
          <w:snapToGrid w:val="0"/>
        </w:rPr>
        <w:t>POTRDILO YOUTHPASS</w:t>
      </w:r>
      <w:bookmarkEnd w:id="19"/>
      <w:r w:rsidRPr="000D3FA6">
        <w:rPr>
          <w:snapToGrid w:val="0"/>
        </w:rPr>
        <w:t>, POTRDILO O UDELEŽBI</w:t>
      </w:r>
    </w:p>
    <w:p w14:paraId="5F2020A8" w14:textId="77777777" w:rsidR="00971CE4" w:rsidRPr="000D3FA6" w:rsidRDefault="00971CE4">
      <w:pPr>
        <w:jc w:val="both"/>
        <w:rPr>
          <w:i/>
          <w:snapToGrid w:val="0"/>
        </w:rPr>
      </w:pPr>
    </w:p>
    <w:p w14:paraId="6E91B8DA" w14:textId="33879338" w:rsidR="00971CE4" w:rsidRPr="000D3FA6" w:rsidRDefault="007B6E89">
      <w:pPr>
        <w:jc w:val="both"/>
        <w:rPr>
          <w:snapToGrid w:val="0"/>
        </w:rPr>
      </w:pPr>
      <w:r w:rsidRPr="000D3FA6">
        <w:rPr>
          <w:b/>
          <w:snapToGrid w:val="0"/>
        </w:rPr>
        <w:t>16.</w:t>
      </w:r>
      <w:r w:rsidRPr="00496B88">
        <w:rPr>
          <w:b/>
          <w:snapToGrid w:val="0"/>
        </w:rPr>
        <w:t>1</w:t>
      </w:r>
      <w:r w:rsidR="00AF12F5" w:rsidRPr="00496B88">
        <w:rPr>
          <w:b/>
          <w:snapToGrid w:val="0"/>
        </w:rPr>
        <w:t xml:space="preserve"> </w:t>
      </w:r>
      <w:r w:rsidR="00040EEF">
        <w:rPr>
          <w:snapToGrid w:val="0"/>
        </w:rPr>
        <w:t>Partner</w:t>
      </w:r>
      <w:r w:rsidRPr="000D3FA6">
        <w:rPr>
          <w:snapToGrid w:val="0"/>
        </w:rPr>
        <w:t xml:space="preserve"> mora obvestiti udeležence, vključene v projekt, o njihovi pravici do podpore v postopku Youthpass in prejem</w:t>
      </w:r>
      <w:r w:rsidR="00CE008D">
        <w:rPr>
          <w:snapToGrid w:val="0"/>
        </w:rPr>
        <w:t>a</w:t>
      </w:r>
      <w:r w:rsidRPr="000D3FA6">
        <w:rPr>
          <w:snapToGrid w:val="0"/>
        </w:rPr>
        <w:t xml:space="preserve"> potrdila Youthpass. </w:t>
      </w:r>
    </w:p>
    <w:p w14:paraId="676D6BA5" w14:textId="77777777" w:rsidR="00971CE4" w:rsidRPr="000D3FA6" w:rsidRDefault="00971CE4">
      <w:pPr>
        <w:autoSpaceDE w:val="0"/>
        <w:autoSpaceDN w:val="0"/>
        <w:adjustRightInd w:val="0"/>
        <w:jc w:val="both"/>
        <w:rPr>
          <w:snapToGrid w:val="0"/>
        </w:rPr>
      </w:pPr>
    </w:p>
    <w:p w14:paraId="368F8DCD" w14:textId="201B276F" w:rsidR="00971CE4" w:rsidRPr="000D3FA6" w:rsidRDefault="007B6E89">
      <w:pPr>
        <w:jc w:val="both"/>
        <w:rPr>
          <w:snapToGrid w:val="0"/>
        </w:rPr>
      </w:pPr>
      <w:r w:rsidRPr="000D3FA6">
        <w:rPr>
          <w:b/>
          <w:snapToGrid w:val="0"/>
        </w:rPr>
        <w:t>16.2</w:t>
      </w:r>
      <w:r w:rsidR="00AF12F5">
        <w:rPr>
          <w:b/>
          <w:snapToGrid w:val="0"/>
        </w:rPr>
        <w:t xml:space="preserve"> </w:t>
      </w:r>
      <w:r w:rsidR="00040EEF">
        <w:rPr>
          <w:snapToGrid w:val="0"/>
        </w:rPr>
        <w:t>Partner</w:t>
      </w:r>
      <w:r w:rsidRPr="000D3FA6">
        <w:rPr>
          <w:snapToGrid w:val="0"/>
        </w:rPr>
        <w:t xml:space="preserve"> je odgovoren za zagotavljanje podpore pri identifikaciji in dokumentiranju neformalnih in priložnostnih učnih rezultatov, ki jih pridobijo udeleženci projekta</w:t>
      </w:r>
      <w:r w:rsidR="00CE008D">
        <w:rPr>
          <w:snapToGrid w:val="0"/>
        </w:rPr>
        <w:t>,</w:t>
      </w:r>
      <w:r w:rsidRPr="000D3FA6">
        <w:rPr>
          <w:snapToGrid w:val="0"/>
        </w:rPr>
        <w:t xml:space="preserve"> in je dolžan vsakemu posameznemu udeležencu zagotoviti potrdilo Youthpass, ki ga zahteva na koncu </w:t>
      </w:r>
      <w:r w:rsidR="00AF12F5">
        <w:rPr>
          <w:snapToGrid w:val="0"/>
        </w:rPr>
        <w:t>akti</w:t>
      </w:r>
      <w:r w:rsidRPr="000D3FA6">
        <w:rPr>
          <w:snapToGrid w:val="0"/>
        </w:rPr>
        <w:t xml:space="preserve">vnosti. </w:t>
      </w:r>
    </w:p>
    <w:p w14:paraId="77984006" w14:textId="77777777" w:rsidR="00971CE4" w:rsidRPr="000D3FA6" w:rsidRDefault="00971CE4">
      <w:pPr>
        <w:jc w:val="both"/>
        <w:rPr>
          <w:snapToGrid w:val="0"/>
        </w:rPr>
      </w:pPr>
    </w:p>
    <w:p w14:paraId="6BC77AB8" w14:textId="45EA789A" w:rsidR="00971CE4" w:rsidRPr="000D3FA6" w:rsidRDefault="007B6E89">
      <w:pPr>
        <w:jc w:val="both"/>
        <w:rPr>
          <w:snapToGrid w:val="0"/>
        </w:rPr>
      </w:pPr>
      <w:r w:rsidRPr="000D3FA6">
        <w:rPr>
          <w:b/>
          <w:snapToGrid w:val="0"/>
        </w:rPr>
        <w:t>16.3</w:t>
      </w:r>
      <w:r w:rsidR="00AF12F5">
        <w:rPr>
          <w:b/>
          <w:snapToGrid w:val="0"/>
        </w:rPr>
        <w:t xml:space="preserve"> </w:t>
      </w:r>
      <w:r w:rsidRPr="000D3FA6">
        <w:rPr>
          <w:snapToGrid w:val="0"/>
        </w:rPr>
        <w:t xml:space="preserve">Brez poseganja v zgornje določbe </w:t>
      </w:r>
      <w:r w:rsidRPr="00496B88">
        <w:rPr>
          <w:snapToGrid w:val="0"/>
        </w:rPr>
        <w:t xml:space="preserve">mora </w:t>
      </w:r>
      <w:r w:rsidR="00040EEF">
        <w:rPr>
          <w:snapToGrid w:val="0"/>
        </w:rPr>
        <w:t>partner</w:t>
      </w:r>
      <w:r w:rsidRPr="00496B88">
        <w:rPr>
          <w:snapToGrid w:val="0"/>
        </w:rPr>
        <w:t xml:space="preserve"> </w:t>
      </w:r>
      <w:r w:rsidRPr="000D3FA6">
        <w:rPr>
          <w:snapToGrid w:val="0"/>
        </w:rPr>
        <w:t>vsakemu udeležencu izdat</w:t>
      </w:r>
      <w:r w:rsidR="00AF12F5">
        <w:rPr>
          <w:snapToGrid w:val="0"/>
        </w:rPr>
        <w:t>i potrdilo o udeležbi na koncu akti</w:t>
      </w:r>
      <w:r w:rsidRPr="000D3FA6">
        <w:rPr>
          <w:snapToGrid w:val="0"/>
        </w:rPr>
        <w:t>vnosti.</w:t>
      </w:r>
    </w:p>
    <w:p w14:paraId="1B2FEF01" w14:textId="7C1A3CA5" w:rsidR="00971CE4" w:rsidRPr="000D3FA6" w:rsidRDefault="007B6E89">
      <w:pPr>
        <w:pStyle w:val="Heading1"/>
      </w:pPr>
      <w:bookmarkStart w:id="20" w:name="_Toc529786078"/>
      <w:r w:rsidRPr="000D3FA6">
        <w:t>ČLEN 17 - DODATNA DOLOČBA O NADZORU IN OCENJEVANJU</w:t>
      </w:r>
      <w:bookmarkEnd w:id="20"/>
    </w:p>
    <w:p w14:paraId="6393CC3E" w14:textId="77777777" w:rsidR="00971CE4" w:rsidRPr="000D3FA6" w:rsidRDefault="00971CE4">
      <w:pPr>
        <w:jc w:val="both"/>
        <w:rPr>
          <w:i/>
          <w:snapToGrid w:val="0"/>
        </w:rPr>
      </w:pPr>
    </w:p>
    <w:p w14:paraId="380F4E26" w14:textId="004DEBB5" w:rsidR="00971CE4" w:rsidRPr="000D3FA6" w:rsidRDefault="007B6E89">
      <w:pPr>
        <w:jc w:val="both"/>
        <w:rPr>
          <w:snapToGrid w:val="0"/>
        </w:rPr>
      </w:pPr>
      <w:r w:rsidRPr="000D3FA6">
        <w:rPr>
          <w:snapToGrid w:val="0"/>
        </w:rPr>
        <w:t xml:space="preserve">NA in Komisija bosta spremljali pravilno izvajanje vseh zahtev, ki izhajajo iz znaka kakovosti ali akreditacije </w:t>
      </w:r>
      <w:r w:rsidR="00E47622">
        <w:rPr>
          <w:snapToGrid w:val="0"/>
        </w:rPr>
        <w:t xml:space="preserve">za prostovoljstvo iz programa </w:t>
      </w:r>
      <w:r w:rsidRPr="000D3FA6">
        <w:rPr>
          <w:snapToGrid w:val="0"/>
        </w:rPr>
        <w:t xml:space="preserve">Erasmus + </w:t>
      </w:r>
      <w:r w:rsidR="00E47622">
        <w:rPr>
          <w:snapToGrid w:val="0"/>
        </w:rPr>
        <w:t xml:space="preserve">, ki jo ima </w:t>
      </w:r>
      <w:r w:rsidR="00040EEF">
        <w:rPr>
          <w:snapToGrid w:val="0"/>
        </w:rPr>
        <w:t>partner</w:t>
      </w:r>
      <w:r w:rsidRPr="000D3FA6">
        <w:rPr>
          <w:snapToGrid w:val="0"/>
        </w:rPr>
        <w:t xml:space="preserve">. </w:t>
      </w:r>
    </w:p>
    <w:p w14:paraId="3E35E9A9" w14:textId="77777777" w:rsidR="00971CE4" w:rsidRPr="000D3FA6" w:rsidRDefault="00971CE4">
      <w:pPr>
        <w:jc w:val="both"/>
        <w:rPr>
          <w:snapToGrid w:val="0"/>
        </w:rPr>
      </w:pPr>
    </w:p>
    <w:p w14:paraId="3D681185" w14:textId="64B98EAE" w:rsidR="00971CE4" w:rsidRPr="000D3FA6" w:rsidRDefault="007B6E89">
      <w:pPr>
        <w:jc w:val="both"/>
      </w:pPr>
      <w:r w:rsidRPr="000D3FA6">
        <w:t xml:space="preserve">V primeru, da </w:t>
      </w:r>
      <w:r w:rsidR="00AF12F5">
        <w:t>se pri nadzoru odkrijejo pomanjkljivosti</w:t>
      </w:r>
      <w:r w:rsidR="008C3DF8">
        <w:t xml:space="preserve">, mora </w:t>
      </w:r>
      <w:r w:rsidR="00040EEF">
        <w:t>partner</w:t>
      </w:r>
      <w:r w:rsidRPr="000D3FA6">
        <w:t xml:space="preserve"> vzpostaviti in izvajati akcijski načrt v roku, ki ga določi NA ali Komisija. Če ni ustreznih in pravočasnih popr</w:t>
      </w:r>
      <w:r w:rsidR="008C3DF8">
        <w:t xml:space="preserve">avnih ukrepov s strani </w:t>
      </w:r>
      <w:r w:rsidR="00040EEF">
        <w:t>partnerja</w:t>
      </w:r>
      <w:r w:rsidRPr="000D3FA6">
        <w:t xml:space="preserve">, bo NA začasno prekinila ali umaknila </w:t>
      </w:r>
      <w:r w:rsidR="00AF12F5">
        <w:rPr>
          <w:snapToGrid w:val="0"/>
        </w:rPr>
        <w:t>z</w:t>
      </w:r>
      <w:r w:rsidRPr="000D3FA6">
        <w:rPr>
          <w:snapToGrid w:val="0"/>
        </w:rPr>
        <w:t>nak kakovosti ali akreditacijo</w:t>
      </w:r>
      <w:r w:rsidR="008C3DF8">
        <w:rPr>
          <w:snapToGrid w:val="0"/>
        </w:rPr>
        <w:t xml:space="preserve"> </w:t>
      </w:r>
      <w:r w:rsidR="00E47622">
        <w:rPr>
          <w:snapToGrid w:val="0"/>
        </w:rPr>
        <w:t xml:space="preserve"> za prostovoljstvo iz programa Erasmus +.</w:t>
      </w:r>
    </w:p>
    <w:p w14:paraId="1A9C16A6" w14:textId="5091503E" w:rsidR="00971CE4" w:rsidRPr="000D3FA6" w:rsidRDefault="00F753C4">
      <w:pPr>
        <w:pStyle w:val="Heading1"/>
        <w:rPr>
          <w:iCs/>
          <w:noProof/>
          <w:snapToGrid w:val="0"/>
        </w:rPr>
      </w:pPr>
      <w:bookmarkStart w:id="21" w:name="_Toc529786081"/>
      <w:r>
        <w:lastRenderedPageBreak/>
        <w:t>ČLEN 18</w:t>
      </w:r>
      <w:r w:rsidR="007B6E89" w:rsidRPr="000D3FA6">
        <w:t xml:space="preserve"> - SPLETNA JEZIKOVNA POPDORA (OLS)</w:t>
      </w:r>
      <w:bookmarkEnd w:id="21"/>
    </w:p>
    <w:p w14:paraId="1A1D4CE9" w14:textId="485A7AD6" w:rsidR="00971CE4" w:rsidRDefault="00971CE4">
      <w:pPr>
        <w:jc w:val="both"/>
        <w:rPr>
          <w:i/>
          <w:color w:val="FF0000"/>
        </w:rPr>
      </w:pPr>
    </w:p>
    <w:p w14:paraId="63CD4D06" w14:textId="77777777" w:rsidR="00F753C4" w:rsidRPr="00D73A24" w:rsidRDefault="00F753C4" w:rsidP="00F753C4">
      <w:pPr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 w:rsidRPr="00D73A24">
        <w:rPr>
          <w:rFonts w:eastAsia="Calibri"/>
          <w:szCs w:val="22"/>
          <w:lang w:eastAsia="ar-SA"/>
        </w:rPr>
        <w:t>Licence za jezikovno ocenjevanje OLS so dodeljene vsem mladim, ki opravljajo čezmejno aktivnost več kot dva meseca in bodo v svojih aktivnostih uporabljali enega od zgoraj navedenih jezikov (razen naravnih govorcev). Izvesti morajo spletno ocenjevanje pred in ob koncu aktivnosti.</w:t>
      </w:r>
    </w:p>
    <w:p w14:paraId="5610CDC6" w14:textId="77777777" w:rsidR="00F753C4" w:rsidRPr="00D73A24" w:rsidRDefault="00F753C4" w:rsidP="00F753C4">
      <w:pPr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 w:rsidRPr="00D73A24">
        <w:rPr>
          <w:rFonts w:eastAsia="Calibri"/>
          <w:szCs w:val="22"/>
          <w:lang w:eastAsia="ar-SA"/>
        </w:rPr>
        <w:t xml:space="preserve">Projektu se dodeli </w:t>
      </w:r>
      <w:r w:rsidRPr="00D73A24">
        <w:rPr>
          <w:rFonts w:eastAsia="Calibri"/>
          <w:szCs w:val="22"/>
          <w:highlight w:val="yellow"/>
          <w:lang w:eastAsia="ar-SA"/>
        </w:rPr>
        <w:t>[NA vnese številko: X]</w:t>
      </w:r>
      <w:r w:rsidRPr="00D73A24">
        <w:rPr>
          <w:rFonts w:eastAsia="Calibri"/>
          <w:szCs w:val="22"/>
          <w:lang w:eastAsia="ar-SA"/>
        </w:rPr>
        <w:t xml:space="preserve"> licenc za ocene znanja jezikov v okviru spletne jezikovne podpore.</w:t>
      </w:r>
    </w:p>
    <w:p w14:paraId="5DB302AA" w14:textId="77777777" w:rsidR="00F753C4" w:rsidRPr="00D73A24" w:rsidRDefault="00F753C4" w:rsidP="00F753C4">
      <w:pPr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 w:rsidRPr="00D73A24">
        <w:rPr>
          <w:rFonts w:eastAsia="Calibri"/>
          <w:szCs w:val="22"/>
          <w:lang w:eastAsia="ar-SA"/>
        </w:rPr>
        <w:t xml:space="preserve">Projektu se dodeli </w:t>
      </w:r>
      <w:r w:rsidRPr="00D73A24">
        <w:rPr>
          <w:rFonts w:eastAsia="Calibri"/>
          <w:szCs w:val="22"/>
          <w:highlight w:val="yellow"/>
          <w:lang w:eastAsia="ar-SA"/>
        </w:rPr>
        <w:t>[NA vnese številko: X]</w:t>
      </w:r>
      <w:r w:rsidRPr="00D73A24">
        <w:rPr>
          <w:rFonts w:eastAsia="Calibri"/>
          <w:szCs w:val="22"/>
          <w:lang w:eastAsia="ar-SA"/>
        </w:rPr>
        <w:t xml:space="preserve"> licenc za jezikovne tečaje v okviru spletne jezikovne podpore.</w:t>
      </w:r>
    </w:p>
    <w:p w14:paraId="377A1684" w14:textId="23E00C0C" w:rsidR="00F753C4" w:rsidRPr="00D73A24" w:rsidRDefault="00765F14" w:rsidP="00F753C4">
      <w:pPr>
        <w:suppressAutoHyphens/>
        <w:jc w:val="both"/>
        <w:rPr>
          <w:rFonts w:eastAsia="Calibri"/>
          <w:szCs w:val="22"/>
          <w:lang w:eastAsia="ar-SA"/>
        </w:rPr>
      </w:pPr>
      <w:r w:rsidRPr="00D73A24">
        <w:rPr>
          <w:rFonts w:eastAsia="Calibri"/>
          <w:szCs w:val="22"/>
          <w:lang w:eastAsia="ar-SA"/>
        </w:rPr>
        <w:t>Partner</w:t>
      </w:r>
      <w:r w:rsidR="00F753C4" w:rsidRPr="00D73A24">
        <w:rPr>
          <w:rFonts w:eastAsia="Calibri"/>
          <w:szCs w:val="22"/>
          <w:lang w:eastAsia="ar-SA"/>
        </w:rPr>
        <w:t xml:space="preserve"> mora dodeljene licence uporabiti v skladu z določbami Priloge III.</w:t>
      </w:r>
    </w:p>
    <w:p w14:paraId="61BE88DD" w14:textId="77777777" w:rsidR="00F753C4" w:rsidRPr="00D73A24" w:rsidRDefault="00F753C4" w:rsidP="00F753C4">
      <w:pPr>
        <w:suppressAutoHyphens/>
        <w:jc w:val="both"/>
        <w:rPr>
          <w:rFonts w:eastAsia="Calibri"/>
          <w:szCs w:val="22"/>
          <w:lang w:eastAsia="ar-SA"/>
        </w:rPr>
      </w:pPr>
    </w:p>
    <w:p w14:paraId="659567FD" w14:textId="42ACD150" w:rsidR="00F753C4" w:rsidRPr="00D73A24" w:rsidRDefault="00F753C4" w:rsidP="00F753C4">
      <w:pPr>
        <w:suppressAutoHyphens/>
        <w:jc w:val="both"/>
        <w:rPr>
          <w:rFonts w:eastAsia="Calibri"/>
          <w:szCs w:val="22"/>
          <w:lang w:eastAsia="ar-SA"/>
        </w:rPr>
      </w:pPr>
      <w:r w:rsidRPr="00D73A24">
        <w:rPr>
          <w:rFonts w:eastAsia="Calibri"/>
          <w:szCs w:val="22"/>
          <w:lang w:eastAsia="ar-SA"/>
        </w:rPr>
        <w:t xml:space="preserve">Prošnje za prilagoditev števila licenc za ocene znanja jezikov v okviru spletne jezikovne podpore ali licenc za jezikovne tečaje v okviru spletne jezikovne podpore mora </w:t>
      </w:r>
      <w:r w:rsidR="00765F14" w:rsidRPr="00D73A24">
        <w:rPr>
          <w:rFonts w:eastAsia="Calibri"/>
          <w:szCs w:val="22"/>
          <w:lang w:eastAsia="ar-SA"/>
        </w:rPr>
        <w:t>partner</w:t>
      </w:r>
      <w:r w:rsidRPr="00D73A24">
        <w:rPr>
          <w:rFonts w:eastAsia="Calibri"/>
          <w:szCs w:val="22"/>
          <w:lang w:eastAsia="ar-SA"/>
        </w:rPr>
        <w:t xml:space="preserve"> poslati NA. Sprejetje zahteve s strani NA ne sme zahtevati spremembe Sporazuma v smislu člena II.13.</w:t>
      </w:r>
    </w:p>
    <w:p w14:paraId="643D8E8E" w14:textId="4F4A6EF5" w:rsidR="00F753C4" w:rsidRPr="000D3FA6" w:rsidRDefault="00F753C4">
      <w:pPr>
        <w:jc w:val="both"/>
        <w:rPr>
          <w:i/>
          <w:color w:val="FF0000"/>
        </w:rPr>
      </w:pPr>
    </w:p>
    <w:p w14:paraId="0B619198" w14:textId="47AA3025" w:rsidR="00971CE4" w:rsidRPr="000D3FA6" w:rsidRDefault="00F753C4">
      <w:pPr>
        <w:pStyle w:val="Heading1"/>
        <w:jc w:val="both"/>
      </w:pPr>
      <w:bookmarkStart w:id="22" w:name="_Toc529786082"/>
      <w:r>
        <w:t>ČLEN 19</w:t>
      </w:r>
      <w:r w:rsidR="007B6E89" w:rsidRPr="000D3FA6">
        <w:t xml:space="preserve"> - POSEBNA ODSTOPANJA OD </w:t>
      </w:r>
      <w:bookmarkEnd w:id="22"/>
      <w:r w:rsidR="007B6E89" w:rsidRPr="000D3FA6">
        <w:t>PRILOGE III POSEBNEGA SPORAZUMA - FINANČNA IN POGODBENA PRAVILA</w:t>
      </w:r>
    </w:p>
    <w:p w14:paraId="391B206D" w14:textId="3AB962A6" w:rsidR="00971CE4" w:rsidRPr="000D3FA6" w:rsidRDefault="007B6E89">
      <w:pPr>
        <w:jc w:val="both"/>
      </w:pPr>
      <w:r w:rsidRPr="000D3FA6">
        <w:t>1. V tem posebnem sporazumu je treba v Prilogi III izraz "upravičenec" razumeti ko</w:t>
      </w:r>
      <w:r w:rsidR="00AF12F5">
        <w:t xml:space="preserve">t "partner". Sklicevanje na člen </w:t>
      </w:r>
      <w:r w:rsidRPr="000D3FA6">
        <w:t>I.2.2 je treba</w:t>
      </w:r>
      <w:r w:rsidR="00AF12F5">
        <w:t xml:space="preserve"> razumeti kot sklicevanje na člen</w:t>
      </w:r>
      <w:r w:rsidRPr="000D3FA6">
        <w:t xml:space="preserve"> 2.2, sklicevanje na čl</w:t>
      </w:r>
      <w:r w:rsidR="00AF12F5">
        <w:t>en</w:t>
      </w:r>
      <w:r w:rsidRPr="000D3FA6">
        <w:t xml:space="preserve"> I.3.3 je treba razumeti kot sklicevanje na čl</w:t>
      </w:r>
      <w:r w:rsidR="00AF12F5">
        <w:t>en 3.3 in sklicevanje na člen</w:t>
      </w:r>
      <w:r w:rsidRPr="000D3FA6">
        <w:t xml:space="preserve"> I.4.2 je tr</w:t>
      </w:r>
      <w:r w:rsidR="00AF12F5">
        <w:t>eba razumeti kot sklicevanje na člen</w:t>
      </w:r>
      <w:r w:rsidRPr="000D3FA6">
        <w:t xml:space="preserve"> 4.2.</w:t>
      </w:r>
    </w:p>
    <w:p w14:paraId="78032414" w14:textId="7AE04815" w:rsidR="00AF12F5" w:rsidRDefault="00AF12F5">
      <w:pPr>
        <w:jc w:val="both"/>
        <w:rPr>
          <w:rFonts w:eastAsia="Calibri"/>
          <w:i/>
        </w:rPr>
      </w:pPr>
    </w:p>
    <w:p w14:paraId="093A3C3A" w14:textId="77777777" w:rsidR="00985074" w:rsidRPr="000D3FA6" w:rsidRDefault="00985074">
      <w:pPr>
        <w:jc w:val="both"/>
        <w:rPr>
          <w:rFonts w:eastAsia="Calibri"/>
          <w:i/>
        </w:rPr>
      </w:pPr>
    </w:p>
    <w:p w14:paraId="364533AA" w14:textId="1FA17C98" w:rsidR="00D73A24" w:rsidRPr="00D40FC0" w:rsidRDefault="00D73A24" w:rsidP="00D73A24">
      <w:pPr>
        <w:jc w:val="both"/>
        <w:rPr>
          <w:rFonts w:eastAsia="Calibri"/>
          <w:i/>
        </w:rPr>
      </w:pPr>
    </w:p>
    <w:p w14:paraId="17DBCB3D" w14:textId="77777777" w:rsidR="00D73A24" w:rsidRDefault="00D73A24" w:rsidP="00D73A24">
      <w:pPr>
        <w:jc w:val="both"/>
        <w:rPr>
          <w:highlight w:val="yellow"/>
        </w:rPr>
      </w:pPr>
      <w:r w:rsidRPr="00D34BE2">
        <w:rPr>
          <w:highlight w:val="yellow"/>
        </w:rPr>
        <w:t xml:space="preserve">Skrbnica/Skrbnik sporazuma: </w:t>
      </w:r>
    </w:p>
    <w:p w14:paraId="6610ABC4" w14:textId="77777777" w:rsidR="00D73A24" w:rsidRDefault="00D73A24" w:rsidP="00D73A24">
      <w:pPr>
        <w:jc w:val="both"/>
      </w:pPr>
      <w:r w:rsidRPr="00D34BE2">
        <w:rPr>
          <w:highlight w:val="yellow"/>
        </w:rPr>
        <w:t>Ime in priimek</w:t>
      </w:r>
    </w:p>
    <w:p w14:paraId="3898DDF7" w14:textId="0251309B" w:rsidR="00D73A24" w:rsidRDefault="00D73A24" w:rsidP="00D73A24">
      <w:pPr>
        <w:spacing w:after="240"/>
      </w:pPr>
      <w:r w:rsidRPr="00D03A05">
        <w:br/>
        <w:t xml:space="preserve">Za </w:t>
      </w:r>
      <w:r w:rsidRPr="00D40FC0">
        <w:rPr>
          <w:b/>
        </w:rPr>
        <w:t xml:space="preserve">partnerja  </w:t>
      </w:r>
      <w:r>
        <w:t xml:space="preserve">                                                      </w:t>
      </w:r>
      <w:r>
        <w:tab/>
      </w:r>
      <w:r>
        <w:tab/>
      </w:r>
      <w:r w:rsidRPr="00D03A05">
        <w:t xml:space="preserve">Za </w:t>
      </w:r>
      <w:r w:rsidRPr="00C079CC">
        <w:rPr>
          <w:b/>
        </w:rPr>
        <w:t xml:space="preserve">NA </w:t>
      </w:r>
    </w:p>
    <w:p w14:paraId="5B881CD4" w14:textId="77777777" w:rsidR="00D73A24" w:rsidRPr="00D03A05" w:rsidRDefault="00D73A24" w:rsidP="00D73A24">
      <w:pPr>
        <w:spacing w:after="240"/>
      </w:pPr>
      <w:r w:rsidRPr="00D03A05">
        <w:t>[</w:t>
      </w:r>
      <w:r w:rsidRPr="00D03A05">
        <w:rPr>
          <w:i/>
          <w:shd w:val="clear" w:color="auto" w:fill="C0C0C0"/>
        </w:rPr>
        <w:t>položaj</w:t>
      </w:r>
      <w:r w:rsidRPr="00D03A05">
        <w:rPr>
          <w:shd w:val="clear" w:color="auto" w:fill="C0C0C0"/>
        </w:rPr>
        <w:t>/ime/priimek</w:t>
      </w:r>
      <w:r w:rsidRPr="00D03A05">
        <w:t xml:space="preserve">] </w:t>
      </w:r>
      <w:r>
        <w:t xml:space="preserve">                                              </w:t>
      </w:r>
      <w:r>
        <w:tab/>
      </w:r>
      <w:r>
        <w:tab/>
        <w:t>Uroš Skrinar, direktor</w:t>
      </w:r>
    </w:p>
    <w:p w14:paraId="44FA098D" w14:textId="05861E6B" w:rsidR="00971CE4" w:rsidRPr="00A47DE5" w:rsidRDefault="00D73A24" w:rsidP="00A47DE5">
      <w:pPr>
        <w:tabs>
          <w:tab w:val="left" w:pos="5103"/>
        </w:tabs>
        <w:spacing w:before="1200"/>
      </w:pPr>
      <w:r>
        <w:t xml:space="preserve"> </w:t>
      </w:r>
      <w:r w:rsidR="00811FD9">
        <w:t>V</w:t>
      </w:r>
      <w:r>
        <w:t>/Na__________________ dne________</w:t>
      </w:r>
      <w:r w:rsidRPr="00D03A05">
        <w:t xml:space="preserve"> </w:t>
      </w:r>
      <w:r>
        <w:t xml:space="preserve">                    </w:t>
      </w:r>
      <w:r>
        <w:tab/>
      </w:r>
      <w:r w:rsidRPr="00D03A05">
        <w:t>V</w:t>
      </w:r>
      <w:r w:rsidR="00A47DE5">
        <w:t xml:space="preserve"> Ljubljani,</w:t>
      </w:r>
    </w:p>
    <w:sectPr w:rsidR="00971CE4" w:rsidRPr="00A47DE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2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286D" w14:textId="77777777" w:rsidR="006629A8" w:rsidRDefault="006629A8">
      <w:r>
        <w:separator/>
      </w:r>
    </w:p>
  </w:endnote>
  <w:endnote w:type="continuationSeparator" w:id="0">
    <w:p w14:paraId="5DEAFB70" w14:textId="77777777" w:rsidR="006629A8" w:rsidRDefault="006629A8">
      <w:r>
        <w:continuationSeparator/>
      </w:r>
    </w:p>
  </w:endnote>
  <w:endnote w:type="continuationNotice" w:id="1">
    <w:p w14:paraId="58F87721" w14:textId="77777777" w:rsidR="006629A8" w:rsidRDefault="0066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8F04" w14:textId="77777777" w:rsidR="005C5D3D" w:rsidRDefault="005C5D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C6863" w14:textId="77777777" w:rsidR="005C5D3D" w:rsidRDefault="005C5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D1B4" w14:textId="2385F70C" w:rsidR="005C5D3D" w:rsidRDefault="005C5D3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1917C6">
      <w:rPr>
        <w:rStyle w:val="PageNumber"/>
        <w:rFonts w:ascii="Arial" w:hAnsi="Arial" w:cs="Arial"/>
        <w:sz w:val="16"/>
      </w:rPr>
      <w:fldChar w:fldCharType="begin"/>
    </w:r>
    <w:r w:rsidRPr="001917C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917C6">
      <w:rPr>
        <w:rStyle w:val="PageNumber"/>
        <w:rFonts w:ascii="Arial" w:hAnsi="Arial" w:cs="Arial"/>
        <w:sz w:val="16"/>
        <w:szCs w:val="16"/>
      </w:rPr>
      <w:fldChar w:fldCharType="separate"/>
    </w:r>
    <w:r w:rsidR="00350581">
      <w:rPr>
        <w:rStyle w:val="PageNumber"/>
        <w:rFonts w:ascii="Arial" w:hAnsi="Arial" w:cs="Arial"/>
        <w:noProof/>
        <w:sz w:val="16"/>
        <w:szCs w:val="16"/>
      </w:rPr>
      <w:t>10</w:t>
    </w:r>
    <w:r w:rsidRPr="001917C6">
      <w:rPr>
        <w:rStyle w:val="PageNumber"/>
        <w:rFonts w:ascii="Arial" w:hAnsi="Arial" w:cs="Arial"/>
        <w:sz w:val="16"/>
        <w:szCs w:val="16"/>
      </w:rPr>
      <w:fldChar w:fldCharType="end"/>
    </w:r>
  </w:p>
  <w:p w14:paraId="5BDF98BE" w14:textId="77777777" w:rsidR="005C5D3D" w:rsidRDefault="005C5D3D" w:rsidP="00A47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83EE" w14:textId="77777777" w:rsidR="005C5D3D" w:rsidRDefault="005C5D3D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5797" w14:textId="77777777" w:rsidR="006629A8" w:rsidRDefault="006629A8">
      <w:r>
        <w:separator/>
      </w:r>
    </w:p>
  </w:footnote>
  <w:footnote w:type="continuationSeparator" w:id="0">
    <w:p w14:paraId="78137A8C" w14:textId="77777777" w:rsidR="006629A8" w:rsidRDefault="006629A8">
      <w:r>
        <w:continuationSeparator/>
      </w:r>
    </w:p>
  </w:footnote>
  <w:footnote w:type="continuationNotice" w:id="1">
    <w:p w14:paraId="301D2F87" w14:textId="77777777" w:rsidR="006629A8" w:rsidRDefault="006629A8"/>
  </w:footnote>
  <w:footnote w:id="2">
    <w:p w14:paraId="6C97712A" w14:textId="64A0A24D" w:rsidR="005C5D3D" w:rsidRDefault="005C5D3D">
      <w:pPr>
        <w:pStyle w:val="FootnoteText"/>
        <w:tabs>
          <w:tab w:val="left" w:pos="0"/>
        </w:tabs>
        <w:spacing w:after="0"/>
        <w:rPr>
          <w:sz w:val="18"/>
        </w:rPr>
      </w:pPr>
      <w:r>
        <w:rPr>
          <w:rStyle w:val="FootnoteReference"/>
          <w:rFonts w:cs="TimesNewRomanPS"/>
          <w:sz w:val="18"/>
        </w:rPr>
        <w:footnoteRef/>
      </w:r>
      <w:r>
        <w:rPr>
          <w:sz w:val="18"/>
        </w:rPr>
        <w:t xml:space="preserve"> </w:t>
      </w:r>
      <w:proofErr w:type="spellStart"/>
      <w:r w:rsidR="00350581">
        <w:rPr>
          <w:sz w:val="18"/>
        </w:rPr>
        <w:t>Za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posebna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nepovratna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sredstva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za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aktivnost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mora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biti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datum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poznejši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od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datuma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začetka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veljavnosti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posebnega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sporazu</w:t>
      </w:r>
      <w:r w:rsidR="00350581">
        <w:rPr>
          <w:sz w:val="18"/>
        </w:rPr>
        <w:t>ma</w:t>
      </w:r>
      <w:proofErr w:type="spellEnd"/>
      <w:r w:rsidR="00350581">
        <w:rPr>
          <w:sz w:val="18"/>
        </w:rPr>
        <w:t xml:space="preserve">, </w:t>
      </w:r>
      <w:proofErr w:type="spellStart"/>
      <w:r w:rsidR="00350581">
        <w:rPr>
          <w:sz w:val="18"/>
        </w:rPr>
        <w:t>razen</w:t>
      </w:r>
      <w:proofErr w:type="spellEnd"/>
      <w:r w:rsidR="00350581">
        <w:rPr>
          <w:sz w:val="18"/>
        </w:rPr>
        <w:t xml:space="preserve"> </w:t>
      </w:r>
      <w:bookmarkStart w:id="0" w:name="_GoBack"/>
      <w:bookmarkEnd w:id="0"/>
      <w:proofErr w:type="spellStart"/>
      <w:r w:rsidR="00350581">
        <w:rPr>
          <w:sz w:val="18"/>
        </w:rPr>
        <w:t>če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pristojna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nacionalna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agencija</w:t>
      </w:r>
      <w:proofErr w:type="spellEnd"/>
      <w:r w:rsidR="00350581">
        <w:rPr>
          <w:sz w:val="18"/>
        </w:rPr>
        <w:t xml:space="preserve"> ne </w:t>
      </w:r>
      <w:proofErr w:type="spellStart"/>
      <w:r w:rsidR="00350581">
        <w:rPr>
          <w:sz w:val="18"/>
        </w:rPr>
        <w:t>dovoli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drugače</w:t>
      </w:r>
      <w:proofErr w:type="spellEnd"/>
      <w:r w:rsidR="00350581">
        <w:rPr>
          <w:sz w:val="18"/>
        </w:rPr>
        <w:t xml:space="preserve">, </w:t>
      </w:r>
      <w:proofErr w:type="spellStart"/>
      <w:r w:rsidR="00350581">
        <w:rPr>
          <w:sz w:val="18"/>
        </w:rPr>
        <w:t>če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partner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dokaže</w:t>
      </w:r>
      <w:proofErr w:type="spellEnd"/>
      <w:r w:rsidR="00350581">
        <w:rPr>
          <w:sz w:val="18"/>
        </w:rPr>
        <w:t xml:space="preserve">, da je </w:t>
      </w:r>
      <w:proofErr w:type="spellStart"/>
      <w:r w:rsidR="00350581">
        <w:rPr>
          <w:sz w:val="18"/>
        </w:rPr>
        <w:t>treba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aktivnost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začeti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pred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začetkom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veljavnosti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sporazuma</w:t>
      </w:r>
      <w:proofErr w:type="spellEnd"/>
      <w:r w:rsidR="00350581">
        <w:rPr>
          <w:sz w:val="18"/>
        </w:rPr>
        <w:t xml:space="preserve"> o </w:t>
      </w:r>
      <w:proofErr w:type="spellStart"/>
      <w:r w:rsidR="00350581">
        <w:rPr>
          <w:sz w:val="18"/>
        </w:rPr>
        <w:t>dodelitvi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sredstev</w:t>
      </w:r>
      <w:proofErr w:type="spellEnd"/>
      <w:r w:rsidR="00350581">
        <w:rPr>
          <w:sz w:val="18"/>
        </w:rPr>
        <w:t xml:space="preserve">. V </w:t>
      </w:r>
      <w:proofErr w:type="spellStart"/>
      <w:r w:rsidR="00350581">
        <w:rPr>
          <w:sz w:val="18"/>
        </w:rPr>
        <w:t>vsakem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primeru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naveden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datum</w:t>
      </w:r>
      <w:proofErr w:type="spellEnd"/>
      <w:r w:rsidR="00350581">
        <w:rPr>
          <w:sz w:val="18"/>
        </w:rPr>
        <w:t xml:space="preserve"> ne </w:t>
      </w:r>
      <w:proofErr w:type="spellStart"/>
      <w:r w:rsidR="00350581">
        <w:rPr>
          <w:sz w:val="18"/>
        </w:rPr>
        <w:t>sme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biti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prej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od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datuma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predložitve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vloge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za</w:t>
      </w:r>
      <w:proofErr w:type="spellEnd"/>
      <w:r w:rsidR="00350581">
        <w:rPr>
          <w:sz w:val="18"/>
        </w:rPr>
        <w:t xml:space="preserve"> </w:t>
      </w:r>
      <w:proofErr w:type="spellStart"/>
      <w:r w:rsidR="00350581">
        <w:rPr>
          <w:sz w:val="18"/>
        </w:rPr>
        <w:t>dotacijo</w:t>
      </w:r>
      <w:proofErr w:type="spellEnd"/>
      <w:r w:rsidR="00350581">
        <w:rPr>
          <w:sz w:val="18"/>
        </w:rPr>
        <w:t xml:space="preserve"> (</w:t>
      </w:r>
      <w:proofErr w:type="spellStart"/>
      <w:r w:rsidR="00350581">
        <w:rPr>
          <w:sz w:val="18"/>
        </w:rPr>
        <w:t>člen</w:t>
      </w:r>
      <w:proofErr w:type="spellEnd"/>
      <w:r w:rsidR="00350581">
        <w:rPr>
          <w:sz w:val="18"/>
        </w:rPr>
        <w:t xml:space="preserve"> 130 FR).</w:t>
      </w:r>
    </w:p>
  </w:footnote>
  <w:footnote w:id="3">
    <w:p w14:paraId="08F01E88" w14:textId="0DF46802" w:rsidR="005C5D3D" w:rsidRPr="006A52B8" w:rsidRDefault="005C5D3D">
      <w:pPr>
        <w:pStyle w:val="FootnoteText"/>
        <w:spacing w:after="0"/>
        <w:rPr>
          <w:sz w:val="18"/>
          <w:lang w:val="sl-SI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1. </w:t>
      </w:r>
      <w:r w:rsidRPr="006A52B8">
        <w:rPr>
          <w:sz w:val="18"/>
          <w:lang w:val="sl-SI"/>
        </w:rPr>
        <w:t xml:space="preserve">Običajni razpored plačil za sporazume o dodelitvi sredstev za </w:t>
      </w:r>
      <w:r w:rsidRPr="006A52B8">
        <w:rPr>
          <w:b/>
          <w:sz w:val="18"/>
          <w:lang w:val="sl-SI"/>
        </w:rPr>
        <w:t xml:space="preserve">največ dve </w:t>
      </w:r>
      <w:proofErr w:type="gramStart"/>
      <w:r w:rsidRPr="006A52B8">
        <w:rPr>
          <w:b/>
          <w:sz w:val="18"/>
          <w:lang w:val="sl-SI"/>
        </w:rPr>
        <w:t>leti</w:t>
      </w:r>
      <w:r w:rsidRPr="006A52B8">
        <w:rPr>
          <w:sz w:val="18"/>
          <w:lang w:val="sl-SI"/>
        </w:rPr>
        <w:t>:</w:t>
      </w:r>
      <w:proofErr w:type="gramEnd"/>
      <w:r w:rsidRPr="006A52B8">
        <w:rPr>
          <w:sz w:val="18"/>
          <w:lang w:val="sl-SI"/>
        </w:rPr>
        <w:t xml:space="preserve"> običajno eno predplačilo v višini 80 % in plačilo v višini 20 %. Vendar v primeru pomanjkanja zadostnih odobritev plačil NA lahko:</w:t>
      </w:r>
    </w:p>
    <w:p w14:paraId="7ECFF45C" w14:textId="162D6882" w:rsidR="005C5D3D" w:rsidRPr="006A52B8" w:rsidRDefault="005C5D3D">
      <w:pPr>
        <w:pStyle w:val="FootnoteText"/>
        <w:numPr>
          <w:ilvl w:val="0"/>
          <w:numId w:val="18"/>
        </w:numPr>
        <w:suppressAutoHyphens/>
        <w:spacing w:after="0"/>
        <w:rPr>
          <w:sz w:val="18"/>
          <w:lang w:val="sl-SI"/>
        </w:rPr>
      </w:pPr>
      <w:r w:rsidRPr="006A52B8">
        <w:rPr>
          <w:sz w:val="18"/>
          <w:lang w:val="sl-SI"/>
        </w:rPr>
        <w:t xml:space="preserve">prvo predhodno financiranje zmanjša za 60 % do 80 % in uporabi plačilo v višini 40-20 % najvišjega zneska nepovratnih sredstev, ali </w:t>
      </w:r>
    </w:p>
    <w:p w14:paraId="0ADE6D07" w14:textId="389ABA35" w:rsidR="005C5D3D" w:rsidRPr="006A52B8" w:rsidRDefault="005C5D3D">
      <w:pPr>
        <w:pStyle w:val="FootnoteText"/>
        <w:numPr>
          <w:ilvl w:val="0"/>
          <w:numId w:val="18"/>
        </w:numPr>
        <w:suppressAutoHyphens/>
        <w:spacing w:after="0"/>
        <w:rPr>
          <w:sz w:val="18"/>
          <w:lang w:val="sl-SI"/>
        </w:rPr>
      </w:pPr>
      <w:r w:rsidRPr="006A52B8">
        <w:rPr>
          <w:sz w:val="18"/>
          <w:lang w:val="sl-SI"/>
        </w:rPr>
        <w:t xml:space="preserve">razdeli prvo predhodno financiranje na dve plačili brez vmesnega poročila, pri čemer skupni znesek obeh plačil znaša 80 % najvišjega zneska nepovratnih sredstev in plačilo v višini 20 % najvišjega zneska nepovratnih sredstev. </w:t>
      </w:r>
    </w:p>
    <w:p w14:paraId="515DF2E8" w14:textId="059480FB" w:rsidR="005C5D3D" w:rsidRDefault="005C5D3D">
      <w:pPr>
        <w:pStyle w:val="FootnoteText"/>
        <w:spacing w:after="0"/>
        <w:rPr>
          <w:sz w:val="18"/>
        </w:rPr>
      </w:pPr>
      <w:r w:rsidRPr="006A52B8">
        <w:rPr>
          <w:sz w:val="18"/>
          <w:lang w:val="sl-SI"/>
        </w:rPr>
        <w:t xml:space="preserve">2. Običajni razpored plačil za sporazume o dodelitvi sredstev za </w:t>
      </w:r>
      <w:r w:rsidRPr="006A52B8">
        <w:rPr>
          <w:b/>
          <w:sz w:val="18"/>
          <w:lang w:val="sl-SI"/>
        </w:rPr>
        <w:t>več kot dve leti</w:t>
      </w:r>
      <w:r w:rsidRPr="006A52B8">
        <w:rPr>
          <w:sz w:val="18"/>
          <w:lang w:val="sl-SI"/>
        </w:rPr>
        <w:t>: eno predhodno financiranje v višini 40 % ob podpisu sporazuma, eno dodatno predhodno financiranje v višini 40 % na podlagi vmesnega poročila in plačilo v višini 20 % najvišjega zneska nepovratnih sredstev.</w:t>
      </w:r>
    </w:p>
  </w:footnote>
  <w:footnote w:id="4">
    <w:p w14:paraId="17D8F6AB" w14:textId="77777777" w:rsidR="005C5D3D" w:rsidRDefault="005C5D3D">
      <w:pPr>
        <w:pStyle w:val="FootnoteText"/>
        <w:spacing w:after="0"/>
        <w:ind w:left="284" w:hanging="284"/>
        <w:rPr>
          <w:sz w:val="18"/>
        </w:rPr>
      </w:pPr>
      <w:r>
        <w:rPr>
          <w:rStyle w:val="FootnoteReference"/>
          <w:rFonts w:cs="TimesNewRomanPS"/>
          <w:sz w:val="18"/>
        </w:rPr>
        <w:footnoteRef/>
      </w:r>
      <w:r>
        <w:rPr>
          <w:sz w:val="18"/>
        </w:rPr>
        <w:t xml:space="preserve"> </w:t>
      </w:r>
      <w:proofErr w:type="spellStart"/>
      <w:r>
        <w:rPr>
          <w:sz w:val="18"/>
        </w:rPr>
        <w:t>Koda</w:t>
      </w:r>
      <w:proofErr w:type="spellEnd"/>
      <w:r>
        <w:rPr>
          <w:sz w:val="18"/>
        </w:rPr>
        <w:t xml:space="preserve"> BIC </w:t>
      </w:r>
      <w:proofErr w:type="spellStart"/>
      <w:r>
        <w:rPr>
          <w:sz w:val="18"/>
        </w:rPr>
        <w:t>ali</w:t>
      </w:r>
      <w:proofErr w:type="spellEnd"/>
      <w:r>
        <w:rPr>
          <w:sz w:val="18"/>
        </w:rPr>
        <w:t xml:space="preserve"> SWIFT se </w:t>
      </w:r>
      <w:proofErr w:type="spellStart"/>
      <w:r>
        <w:rPr>
          <w:sz w:val="18"/>
        </w:rPr>
        <w:t>lahko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uporablja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države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ne </w:t>
      </w:r>
      <w:proofErr w:type="spellStart"/>
      <w:r>
        <w:rPr>
          <w:sz w:val="18"/>
        </w:rPr>
        <w:t>uporabljajo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kode</w:t>
      </w:r>
      <w:proofErr w:type="spellEnd"/>
      <w:r>
        <w:rPr>
          <w:sz w:val="18"/>
        </w:rPr>
        <w:t xml:space="preserve"> IBAN.</w:t>
      </w:r>
    </w:p>
  </w:footnote>
  <w:footnote w:id="5">
    <w:p w14:paraId="410944B1" w14:textId="2D36960A" w:rsidR="005C5D3D" w:rsidRDefault="005C5D3D">
      <w:pPr>
        <w:pStyle w:val="FootnoteText"/>
        <w:spacing w:after="0"/>
        <w:rPr>
          <w:sz w:val="18"/>
        </w:rPr>
      </w:pPr>
      <w:r>
        <w:rPr>
          <w:rStyle w:val="Voetnoottekens"/>
          <w:sz w:val="18"/>
        </w:rPr>
        <w:footnoteRef/>
      </w:r>
      <w:r>
        <w:rPr>
          <w:sz w:val="18"/>
        </w:rPr>
        <w:t xml:space="preserve"> </w:t>
      </w:r>
      <w:r w:rsidRPr="00F00B3E">
        <w:rPr>
          <w:sz w:val="18"/>
          <w:lang w:val="sl-SI"/>
        </w:rPr>
        <w:t>Odprta licenca - način, s katerim lastnik dela izda dovoljenje drugim uporabnikom za uporabo vira. Licenca je povezana z vsakim virom. Obstajajo različne odprte licence glede na obseg odobrenih dovoljenj ali omejitev in upravičenec lahko prosto izbere posebno licenco za svoje delo.  Odprto licenco je treba povezati z vsakim proizvedenim virom.  Odprta licenca ni prenos avtorskih pravic ali pravic intelektualne lastnine.</w:t>
      </w:r>
      <w:r>
        <w:rPr>
          <w:sz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4603" w14:textId="12E447EC" w:rsidR="00AF12F5" w:rsidRDefault="00931DD4" w:rsidP="00A47DE5">
    <w:pPr>
      <w:pStyle w:val="Header"/>
      <w:tabs>
        <w:tab w:val="center" w:pos="2552"/>
      </w:tabs>
      <w:rPr>
        <w:sz w:val="18"/>
      </w:rPr>
    </w:pPr>
    <w:r w:rsidRPr="007833B6">
      <w:rPr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866B750" wp14:editId="771EF99C">
          <wp:simplePos x="0" y="0"/>
          <wp:positionH relativeFrom="column">
            <wp:posOffset>5387340</wp:posOffset>
          </wp:positionH>
          <wp:positionV relativeFrom="paragraph">
            <wp:posOffset>-259715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D3D">
      <w:rPr>
        <w:sz w:val="18"/>
      </w:rPr>
      <w:t xml:space="preserve">Posebni sporazum o </w:t>
    </w:r>
    <w:r w:rsidR="00AF12F5">
      <w:rPr>
        <w:sz w:val="18"/>
      </w:rPr>
      <w:t>dodelitvi posebnih nepovratnih sredstev</w:t>
    </w:r>
    <w:r w:rsidR="005C5D3D">
      <w:rPr>
        <w:sz w:val="18"/>
      </w:rPr>
      <w:t xml:space="preserve"> Evropske solidarnostne enote </w:t>
    </w:r>
  </w:p>
  <w:p w14:paraId="4DC1A3BB" w14:textId="5AA7EC3E" w:rsidR="00AF12F5" w:rsidRDefault="00931DD4">
    <w:pPr>
      <w:pStyle w:val="Header"/>
      <w:tabs>
        <w:tab w:val="center" w:pos="2552"/>
      </w:tabs>
      <w:ind w:left="-142"/>
      <w:rPr>
        <w:sz w:val="18"/>
      </w:rPr>
    </w:pPr>
    <w:r w:rsidRPr="007833B6">
      <w:rPr>
        <w:noProof/>
        <w:sz w:val="16"/>
        <w:lang w:eastAsia="sl-SI"/>
      </w:rPr>
      <w:drawing>
        <wp:anchor distT="0" distB="0" distL="114300" distR="114300" simplePos="0" relativeHeight="251661312" behindDoc="0" locked="0" layoutInCell="1" allowOverlap="1" wp14:anchorId="4A7031C5" wp14:editId="54FC1E8C">
          <wp:simplePos x="0" y="0"/>
          <wp:positionH relativeFrom="column">
            <wp:posOffset>5370830</wp:posOffset>
          </wp:positionH>
          <wp:positionV relativeFrom="paragraph">
            <wp:posOffset>7107</wp:posOffset>
          </wp:positionV>
          <wp:extent cx="1127760" cy="79888"/>
          <wp:effectExtent l="0" t="0" r="0" b="0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174405" cy="8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49920" w14:textId="6DA44663" w:rsidR="005C5D3D" w:rsidRDefault="00931DD4">
    <w:pPr>
      <w:pStyle w:val="Header"/>
      <w:tabs>
        <w:tab w:val="center" w:pos="2552"/>
      </w:tabs>
      <w:ind w:left="-142"/>
      <w:rPr>
        <w:sz w:val="18"/>
      </w:rPr>
    </w:pPr>
    <w:r>
      <w:rPr>
        <w:sz w:val="18"/>
      </w:rPr>
      <w:t xml:space="preserve">   </w:t>
    </w:r>
    <w:r w:rsidR="005C5D3D">
      <w:rPr>
        <w:sz w:val="18"/>
      </w:rPr>
      <w:t xml:space="preserve">Številka sporazuma: </w:t>
    </w:r>
    <w:r w:rsidR="005C5D3D" w:rsidRPr="00494B64">
      <w:rPr>
        <w:b/>
        <w:sz w:val="18"/>
        <w:highlight w:val="yellow"/>
      </w:rPr>
      <w:t>[</w:t>
    </w:r>
    <w:r w:rsidR="00AF12F5" w:rsidRPr="00494B64">
      <w:rPr>
        <w:b/>
        <w:sz w:val="18"/>
        <w:highlight w:val="yellow"/>
      </w:rPr>
      <w:t>izpolnjeno</w:t>
    </w:r>
    <w:r w:rsidR="005C5D3D" w:rsidRPr="00494B64">
      <w:rPr>
        <w:b/>
        <w:sz w:val="18"/>
        <w:highlight w:val="yellow"/>
      </w:rPr>
      <w:t>]</w:t>
    </w:r>
    <w:r w:rsidR="005C5D3D">
      <w:rPr>
        <w:sz w:val="18"/>
      </w:rPr>
      <w:tab/>
    </w:r>
    <w:r w:rsidR="005C5D3D">
      <w:rPr>
        <w:sz w:val="18"/>
      </w:rPr>
      <w:tab/>
    </w:r>
  </w:p>
  <w:p w14:paraId="5B155289" w14:textId="77777777" w:rsidR="005C5D3D" w:rsidRDefault="005C5D3D">
    <w:pPr>
      <w:pStyle w:val="Header"/>
      <w:jc w:val="right"/>
      <w:rPr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C97" w14:textId="77777777" w:rsidR="005C5D3D" w:rsidRDefault="005C5D3D">
    <w:pPr>
      <w:pStyle w:val="Header"/>
      <w:tabs>
        <w:tab w:val="center" w:pos="2552"/>
      </w:tabs>
      <w:ind w:left="-142"/>
      <w:rPr>
        <w:sz w:val="18"/>
      </w:rPr>
    </w:pPr>
    <w:r>
      <w:rPr>
        <w:sz w:val="18"/>
      </w:rPr>
      <w:t xml:space="preserve">Posebni sporazum o donaciji Evropske solidarnostne enote Prostovoljno partnerstvo: december 2018 Številka sporazuma: </w:t>
    </w:r>
    <w:r>
      <w:rPr>
        <w:b/>
        <w:sz w:val="18"/>
      </w:rPr>
      <w:t>[</w:t>
    </w:r>
    <w:r>
      <w:rPr>
        <w:b/>
        <w:sz w:val="18"/>
        <w:highlight w:val="lightGray"/>
      </w:rPr>
      <w:t>popolno</w:t>
    </w:r>
    <w:r>
      <w:rPr>
        <w:b/>
        <w:sz w:val="18"/>
      </w:rPr>
      <w:t>]</w:t>
    </w:r>
    <w:r>
      <w:rPr>
        <w:sz w:val="18"/>
      </w:rPr>
      <w:tab/>
    </w:r>
    <w:r>
      <w:rPr>
        <w:sz w:val="18"/>
      </w:rPr>
      <w:tab/>
    </w:r>
  </w:p>
  <w:p w14:paraId="5A41F9E5" w14:textId="77777777" w:rsidR="005C5D3D" w:rsidRDefault="005C5D3D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D1B"/>
    <w:multiLevelType w:val="hybridMultilevel"/>
    <w:tmpl w:val="4E2C3C9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0ED7"/>
    <w:multiLevelType w:val="hybridMultilevel"/>
    <w:tmpl w:val="FDCC2698"/>
    <w:lvl w:ilvl="0" w:tplc="B49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D0295C"/>
    <w:multiLevelType w:val="hybridMultilevel"/>
    <w:tmpl w:val="CABC37A2"/>
    <w:lvl w:ilvl="0" w:tplc="41A6D98E">
      <w:start w:val="1"/>
      <w:numFmt w:val="lowerRoman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23E37DC6"/>
    <w:multiLevelType w:val="hybridMultilevel"/>
    <w:tmpl w:val="4BD46E3C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A810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815FC"/>
    <w:multiLevelType w:val="hybridMultilevel"/>
    <w:tmpl w:val="42C6351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76A2315"/>
    <w:multiLevelType w:val="hybridMultilevel"/>
    <w:tmpl w:val="116EFE9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36D5F45"/>
    <w:multiLevelType w:val="hybridMultilevel"/>
    <w:tmpl w:val="495CA708"/>
    <w:lvl w:ilvl="0" w:tplc="5D422416">
      <w:start w:val="1"/>
      <w:numFmt w:val="lowerRoman"/>
      <w:suff w:val="space"/>
      <w:lvlText w:val="(%1)"/>
      <w:lvlJc w:val="left"/>
      <w:pPr>
        <w:ind w:left="1287" w:hanging="360"/>
      </w:pPr>
      <w:rPr>
        <w:rFonts w:hint="default"/>
      </w:rPr>
    </w:lvl>
    <w:lvl w:ilvl="1" w:tplc="6D5AB5C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6541"/>
    <w:multiLevelType w:val="multilevel"/>
    <w:tmpl w:val="72267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26D2A"/>
    <w:multiLevelType w:val="hybridMultilevel"/>
    <w:tmpl w:val="8B2E011E"/>
    <w:lvl w:ilvl="0" w:tplc="B4989B1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62F9465B"/>
    <w:multiLevelType w:val="multilevel"/>
    <w:tmpl w:val="A14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4"/>
  </w:num>
  <w:num w:numId="9">
    <w:abstractNumId w:val="13"/>
  </w:num>
  <w:num w:numId="10">
    <w:abstractNumId w:val="8"/>
  </w:num>
  <w:num w:numId="11">
    <w:abstractNumId w:val="17"/>
  </w:num>
  <w:num w:numId="12">
    <w:abstractNumId w:val="2"/>
  </w:num>
  <w:num w:numId="13">
    <w:abstractNumId w:val="15"/>
  </w:num>
  <w:num w:numId="14">
    <w:abstractNumId w:val="3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7"/>
  </w:num>
  <w:num w:numId="19">
    <w:abstractNumId w:val="22"/>
  </w:num>
  <w:num w:numId="20">
    <w:abstractNumId w:val="9"/>
  </w:num>
  <w:num w:numId="21">
    <w:abstractNumId w:val="0"/>
  </w:num>
  <w:num w:numId="22">
    <w:abstractNumId w:val="11"/>
  </w:num>
  <w:num w:numId="23">
    <w:abstractNumId w:val="2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81A71"/>
    <w:rsid w:val="00000804"/>
    <w:rsid w:val="000071E8"/>
    <w:rsid w:val="00011622"/>
    <w:rsid w:val="00011FBE"/>
    <w:rsid w:val="000233DA"/>
    <w:rsid w:val="00023A3E"/>
    <w:rsid w:val="00024B2B"/>
    <w:rsid w:val="00026985"/>
    <w:rsid w:val="00030B6F"/>
    <w:rsid w:val="0003501A"/>
    <w:rsid w:val="00040EEF"/>
    <w:rsid w:val="00040F70"/>
    <w:rsid w:val="00041E0C"/>
    <w:rsid w:val="00041F37"/>
    <w:rsid w:val="00043C5D"/>
    <w:rsid w:val="000466CC"/>
    <w:rsid w:val="00047629"/>
    <w:rsid w:val="00050248"/>
    <w:rsid w:val="00051705"/>
    <w:rsid w:val="0005257B"/>
    <w:rsid w:val="0005419C"/>
    <w:rsid w:val="00054D5E"/>
    <w:rsid w:val="0005799C"/>
    <w:rsid w:val="00064CBE"/>
    <w:rsid w:val="0006502C"/>
    <w:rsid w:val="000659D9"/>
    <w:rsid w:val="00074369"/>
    <w:rsid w:val="000756D7"/>
    <w:rsid w:val="000768C3"/>
    <w:rsid w:val="000779FE"/>
    <w:rsid w:val="00082451"/>
    <w:rsid w:val="00083872"/>
    <w:rsid w:val="00090DBE"/>
    <w:rsid w:val="000911DA"/>
    <w:rsid w:val="00092EB0"/>
    <w:rsid w:val="000939BA"/>
    <w:rsid w:val="000A1E27"/>
    <w:rsid w:val="000A2DED"/>
    <w:rsid w:val="000A30BE"/>
    <w:rsid w:val="000A5497"/>
    <w:rsid w:val="000A717F"/>
    <w:rsid w:val="000A7C52"/>
    <w:rsid w:val="000B2B13"/>
    <w:rsid w:val="000B4361"/>
    <w:rsid w:val="000B45DF"/>
    <w:rsid w:val="000B4844"/>
    <w:rsid w:val="000B4967"/>
    <w:rsid w:val="000B6E29"/>
    <w:rsid w:val="000C6CAC"/>
    <w:rsid w:val="000C7873"/>
    <w:rsid w:val="000D0389"/>
    <w:rsid w:val="000D03F9"/>
    <w:rsid w:val="000D283C"/>
    <w:rsid w:val="000D3FA6"/>
    <w:rsid w:val="000D5BFB"/>
    <w:rsid w:val="000D7C2A"/>
    <w:rsid w:val="000E1FFD"/>
    <w:rsid w:val="000E2749"/>
    <w:rsid w:val="000E5B66"/>
    <w:rsid w:val="000F0B66"/>
    <w:rsid w:val="000F42D1"/>
    <w:rsid w:val="000F66FA"/>
    <w:rsid w:val="000F75DA"/>
    <w:rsid w:val="00100C88"/>
    <w:rsid w:val="00102B95"/>
    <w:rsid w:val="00102C60"/>
    <w:rsid w:val="0010341C"/>
    <w:rsid w:val="00105FFE"/>
    <w:rsid w:val="0011122C"/>
    <w:rsid w:val="001138A4"/>
    <w:rsid w:val="00113D57"/>
    <w:rsid w:val="00117C00"/>
    <w:rsid w:val="0012311A"/>
    <w:rsid w:val="00131086"/>
    <w:rsid w:val="00133544"/>
    <w:rsid w:val="00133B09"/>
    <w:rsid w:val="00135723"/>
    <w:rsid w:val="00136277"/>
    <w:rsid w:val="00143423"/>
    <w:rsid w:val="00143CF5"/>
    <w:rsid w:val="00144894"/>
    <w:rsid w:val="00147F0C"/>
    <w:rsid w:val="0015296E"/>
    <w:rsid w:val="001564BC"/>
    <w:rsid w:val="00157F04"/>
    <w:rsid w:val="001614AB"/>
    <w:rsid w:val="00163B34"/>
    <w:rsid w:val="0016542E"/>
    <w:rsid w:val="00171704"/>
    <w:rsid w:val="00173D87"/>
    <w:rsid w:val="00176983"/>
    <w:rsid w:val="00180AE5"/>
    <w:rsid w:val="00180CE1"/>
    <w:rsid w:val="00180E1F"/>
    <w:rsid w:val="00181659"/>
    <w:rsid w:val="00182A86"/>
    <w:rsid w:val="00183DCA"/>
    <w:rsid w:val="001917C6"/>
    <w:rsid w:val="001942BB"/>
    <w:rsid w:val="00194400"/>
    <w:rsid w:val="00196729"/>
    <w:rsid w:val="001A4A29"/>
    <w:rsid w:val="001A4B8C"/>
    <w:rsid w:val="001A4F97"/>
    <w:rsid w:val="001B442D"/>
    <w:rsid w:val="001B504A"/>
    <w:rsid w:val="001C0E6D"/>
    <w:rsid w:val="001C1FC3"/>
    <w:rsid w:val="001C478A"/>
    <w:rsid w:val="001C689D"/>
    <w:rsid w:val="001D0A4B"/>
    <w:rsid w:val="001D0DDB"/>
    <w:rsid w:val="001D2308"/>
    <w:rsid w:val="001D26BC"/>
    <w:rsid w:val="001D3E8C"/>
    <w:rsid w:val="001D46D1"/>
    <w:rsid w:val="001D4FBE"/>
    <w:rsid w:val="001D61D0"/>
    <w:rsid w:val="001D689C"/>
    <w:rsid w:val="001E09D7"/>
    <w:rsid w:val="001E2EC3"/>
    <w:rsid w:val="001E353A"/>
    <w:rsid w:val="001E7D9B"/>
    <w:rsid w:val="001F01E9"/>
    <w:rsid w:val="001F2F96"/>
    <w:rsid w:val="001F3765"/>
    <w:rsid w:val="001F384F"/>
    <w:rsid w:val="001F478B"/>
    <w:rsid w:val="001F6B49"/>
    <w:rsid w:val="00201791"/>
    <w:rsid w:val="002025AD"/>
    <w:rsid w:val="002028B6"/>
    <w:rsid w:val="002033BF"/>
    <w:rsid w:val="00203743"/>
    <w:rsid w:val="002052BF"/>
    <w:rsid w:val="00205E18"/>
    <w:rsid w:val="0020623C"/>
    <w:rsid w:val="00210887"/>
    <w:rsid w:val="00213343"/>
    <w:rsid w:val="0021517F"/>
    <w:rsid w:val="0021735E"/>
    <w:rsid w:val="002175C1"/>
    <w:rsid w:val="0022132B"/>
    <w:rsid w:val="00227457"/>
    <w:rsid w:val="002317F6"/>
    <w:rsid w:val="00232822"/>
    <w:rsid w:val="002336CC"/>
    <w:rsid w:val="00233D52"/>
    <w:rsid w:val="00234259"/>
    <w:rsid w:val="002376BA"/>
    <w:rsid w:val="00241A28"/>
    <w:rsid w:val="00241C8F"/>
    <w:rsid w:val="00242651"/>
    <w:rsid w:val="002430EF"/>
    <w:rsid w:val="00243101"/>
    <w:rsid w:val="00243529"/>
    <w:rsid w:val="00245921"/>
    <w:rsid w:val="002469F6"/>
    <w:rsid w:val="00252BEC"/>
    <w:rsid w:val="00254F2A"/>
    <w:rsid w:val="00261DCF"/>
    <w:rsid w:val="0026366B"/>
    <w:rsid w:val="0026458C"/>
    <w:rsid w:val="002654E7"/>
    <w:rsid w:val="00271596"/>
    <w:rsid w:val="00272716"/>
    <w:rsid w:val="0027683C"/>
    <w:rsid w:val="00277F1C"/>
    <w:rsid w:val="00280AC1"/>
    <w:rsid w:val="00284DC7"/>
    <w:rsid w:val="0028545D"/>
    <w:rsid w:val="0028705D"/>
    <w:rsid w:val="00290AFC"/>
    <w:rsid w:val="0029233E"/>
    <w:rsid w:val="00296AF1"/>
    <w:rsid w:val="002A0A70"/>
    <w:rsid w:val="002A0C4C"/>
    <w:rsid w:val="002A0C8A"/>
    <w:rsid w:val="002A27F0"/>
    <w:rsid w:val="002A2B0B"/>
    <w:rsid w:val="002A3608"/>
    <w:rsid w:val="002A5E3B"/>
    <w:rsid w:val="002A6BAB"/>
    <w:rsid w:val="002A76F4"/>
    <w:rsid w:val="002B0688"/>
    <w:rsid w:val="002B7134"/>
    <w:rsid w:val="002C1B81"/>
    <w:rsid w:val="002C2144"/>
    <w:rsid w:val="002C7887"/>
    <w:rsid w:val="002D2ACC"/>
    <w:rsid w:val="002D70DB"/>
    <w:rsid w:val="002E6123"/>
    <w:rsid w:val="002E67FB"/>
    <w:rsid w:val="002E68EE"/>
    <w:rsid w:val="002E6FB7"/>
    <w:rsid w:val="002F1BF7"/>
    <w:rsid w:val="002F39FD"/>
    <w:rsid w:val="002F4B12"/>
    <w:rsid w:val="002F5560"/>
    <w:rsid w:val="002F6E57"/>
    <w:rsid w:val="003075AF"/>
    <w:rsid w:val="00307CA6"/>
    <w:rsid w:val="003116BB"/>
    <w:rsid w:val="00313B11"/>
    <w:rsid w:val="00316AFF"/>
    <w:rsid w:val="00316F3F"/>
    <w:rsid w:val="00317EFB"/>
    <w:rsid w:val="00321046"/>
    <w:rsid w:val="003210C4"/>
    <w:rsid w:val="003231A8"/>
    <w:rsid w:val="0033305E"/>
    <w:rsid w:val="00334EB9"/>
    <w:rsid w:val="003359EB"/>
    <w:rsid w:val="00336C9C"/>
    <w:rsid w:val="00340CA0"/>
    <w:rsid w:val="00341968"/>
    <w:rsid w:val="00344F97"/>
    <w:rsid w:val="0034656A"/>
    <w:rsid w:val="00350581"/>
    <w:rsid w:val="003549DC"/>
    <w:rsid w:val="00357DD6"/>
    <w:rsid w:val="003601A4"/>
    <w:rsid w:val="00365D78"/>
    <w:rsid w:val="003667EF"/>
    <w:rsid w:val="00366C2E"/>
    <w:rsid w:val="003714CC"/>
    <w:rsid w:val="003775E1"/>
    <w:rsid w:val="00383287"/>
    <w:rsid w:val="00385C0A"/>
    <w:rsid w:val="003864D4"/>
    <w:rsid w:val="003904F0"/>
    <w:rsid w:val="0039758F"/>
    <w:rsid w:val="003A0C7B"/>
    <w:rsid w:val="003A21F8"/>
    <w:rsid w:val="003A3806"/>
    <w:rsid w:val="003A4B21"/>
    <w:rsid w:val="003B131B"/>
    <w:rsid w:val="003B5E1D"/>
    <w:rsid w:val="003B738B"/>
    <w:rsid w:val="003D2DF0"/>
    <w:rsid w:val="003D6E07"/>
    <w:rsid w:val="003E49DA"/>
    <w:rsid w:val="003F3579"/>
    <w:rsid w:val="003F618C"/>
    <w:rsid w:val="0040041A"/>
    <w:rsid w:val="00402032"/>
    <w:rsid w:val="004021F4"/>
    <w:rsid w:val="004052DA"/>
    <w:rsid w:val="00410D18"/>
    <w:rsid w:val="00411F2F"/>
    <w:rsid w:val="0041529F"/>
    <w:rsid w:val="00416936"/>
    <w:rsid w:val="00417BA8"/>
    <w:rsid w:val="00420D48"/>
    <w:rsid w:val="00421F17"/>
    <w:rsid w:val="00423537"/>
    <w:rsid w:val="004267B7"/>
    <w:rsid w:val="00426F47"/>
    <w:rsid w:val="004277D7"/>
    <w:rsid w:val="00436BB0"/>
    <w:rsid w:val="004440E2"/>
    <w:rsid w:val="00446757"/>
    <w:rsid w:val="0044734C"/>
    <w:rsid w:val="00450CB1"/>
    <w:rsid w:val="00451E89"/>
    <w:rsid w:val="00451FE2"/>
    <w:rsid w:val="00453133"/>
    <w:rsid w:val="00456FA9"/>
    <w:rsid w:val="00462847"/>
    <w:rsid w:val="004635C6"/>
    <w:rsid w:val="00465116"/>
    <w:rsid w:val="00465781"/>
    <w:rsid w:val="00472639"/>
    <w:rsid w:val="004757E5"/>
    <w:rsid w:val="00481858"/>
    <w:rsid w:val="00486F3A"/>
    <w:rsid w:val="00494B64"/>
    <w:rsid w:val="00496B88"/>
    <w:rsid w:val="004A0637"/>
    <w:rsid w:val="004A0817"/>
    <w:rsid w:val="004A1593"/>
    <w:rsid w:val="004A36FF"/>
    <w:rsid w:val="004A5744"/>
    <w:rsid w:val="004B12A9"/>
    <w:rsid w:val="004B2544"/>
    <w:rsid w:val="004B2CF6"/>
    <w:rsid w:val="004C0364"/>
    <w:rsid w:val="004C2268"/>
    <w:rsid w:val="004C3B19"/>
    <w:rsid w:val="004C5077"/>
    <w:rsid w:val="004C5439"/>
    <w:rsid w:val="004C6B27"/>
    <w:rsid w:val="004D0199"/>
    <w:rsid w:val="004D0734"/>
    <w:rsid w:val="004D2E4A"/>
    <w:rsid w:val="004D3722"/>
    <w:rsid w:val="004D38D8"/>
    <w:rsid w:val="004D3C29"/>
    <w:rsid w:val="004D3DBF"/>
    <w:rsid w:val="004D4261"/>
    <w:rsid w:val="004E115F"/>
    <w:rsid w:val="004E3FC2"/>
    <w:rsid w:val="004E7F0D"/>
    <w:rsid w:val="004F5DC4"/>
    <w:rsid w:val="004F6F14"/>
    <w:rsid w:val="00500B85"/>
    <w:rsid w:val="0050187C"/>
    <w:rsid w:val="005030F2"/>
    <w:rsid w:val="00503AB3"/>
    <w:rsid w:val="00505555"/>
    <w:rsid w:val="00506BD8"/>
    <w:rsid w:val="00506F2F"/>
    <w:rsid w:val="00510121"/>
    <w:rsid w:val="005102F7"/>
    <w:rsid w:val="005104A4"/>
    <w:rsid w:val="0051386F"/>
    <w:rsid w:val="005243CC"/>
    <w:rsid w:val="005243EF"/>
    <w:rsid w:val="00527849"/>
    <w:rsid w:val="0053094C"/>
    <w:rsid w:val="00530DF9"/>
    <w:rsid w:val="00533DBE"/>
    <w:rsid w:val="005354FB"/>
    <w:rsid w:val="00535660"/>
    <w:rsid w:val="00537C45"/>
    <w:rsid w:val="00543300"/>
    <w:rsid w:val="00544FDB"/>
    <w:rsid w:val="005533F4"/>
    <w:rsid w:val="00555030"/>
    <w:rsid w:val="00555486"/>
    <w:rsid w:val="005561F9"/>
    <w:rsid w:val="00565C97"/>
    <w:rsid w:val="0056613B"/>
    <w:rsid w:val="005740D1"/>
    <w:rsid w:val="005746EC"/>
    <w:rsid w:val="0057569F"/>
    <w:rsid w:val="00580A3F"/>
    <w:rsid w:val="00585CFE"/>
    <w:rsid w:val="00586248"/>
    <w:rsid w:val="00590335"/>
    <w:rsid w:val="00592606"/>
    <w:rsid w:val="00594ADB"/>
    <w:rsid w:val="005953B0"/>
    <w:rsid w:val="005A3FFA"/>
    <w:rsid w:val="005A4D53"/>
    <w:rsid w:val="005A5AF9"/>
    <w:rsid w:val="005A6C22"/>
    <w:rsid w:val="005B0D95"/>
    <w:rsid w:val="005B5D3A"/>
    <w:rsid w:val="005C17E6"/>
    <w:rsid w:val="005C5D3D"/>
    <w:rsid w:val="005D2CB0"/>
    <w:rsid w:val="005D393C"/>
    <w:rsid w:val="005D59E1"/>
    <w:rsid w:val="005D7607"/>
    <w:rsid w:val="005E1190"/>
    <w:rsid w:val="005E1820"/>
    <w:rsid w:val="005E4029"/>
    <w:rsid w:val="005F6FAC"/>
    <w:rsid w:val="005F71FB"/>
    <w:rsid w:val="005F7ECD"/>
    <w:rsid w:val="0060234A"/>
    <w:rsid w:val="006033C4"/>
    <w:rsid w:val="006035C0"/>
    <w:rsid w:val="00603851"/>
    <w:rsid w:val="00606E93"/>
    <w:rsid w:val="00606F2C"/>
    <w:rsid w:val="00610229"/>
    <w:rsid w:val="00611309"/>
    <w:rsid w:val="00620C90"/>
    <w:rsid w:val="006212D9"/>
    <w:rsid w:val="006261F9"/>
    <w:rsid w:val="00633892"/>
    <w:rsid w:val="00637EE0"/>
    <w:rsid w:val="00641AFA"/>
    <w:rsid w:val="00641CB2"/>
    <w:rsid w:val="006420CF"/>
    <w:rsid w:val="00647131"/>
    <w:rsid w:val="0065284E"/>
    <w:rsid w:val="00655E7B"/>
    <w:rsid w:val="006570D5"/>
    <w:rsid w:val="00662672"/>
    <w:rsid w:val="006629A8"/>
    <w:rsid w:val="006634DE"/>
    <w:rsid w:val="00670928"/>
    <w:rsid w:val="00673D19"/>
    <w:rsid w:val="006833E8"/>
    <w:rsid w:val="0068453E"/>
    <w:rsid w:val="00690FD0"/>
    <w:rsid w:val="006930C6"/>
    <w:rsid w:val="00696E62"/>
    <w:rsid w:val="0069753A"/>
    <w:rsid w:val="006A329B"/>
    <w:rsid w:val="006A3D16"/>
    <w:rsid w:val="006A52B8"/>
    <w:rsid w:val="006A5921"/>
    <w:rsid w:val="006B20E1"/>
    <w:rsid w:val="006B33A0"/>
    <w:rsid w:val="006B6363"/>
    <w:rsid w:val="006B6901"/>
    <w:rsid w:val="006B6CCE"/>
    <w:rsid w:val="006C0E89"/>
    <w:rsid w:val="006C477C"/>
    <w:rsid w:val="006C70D6"/>
    <w:rsid w:val="006D1C97"/>
    <w:rsid w:val="006D1D06"/>
    <w:rsid w:val="006D27B5"/>
    <w:rsid w:val="006D491F"/>
    <w:rsid w:val="006E0514"/>
    <w:rsid w:val="006E2A86"/>
    <w:rsid w:val="006E38CC"/>
    <w:rsid w:val="006E6C35"/>
    <w:rsid w:val="006F23A9"/>
    <w:rsid w:val="006F308E"/>
    <w:rsid w:val="006F615D"/>
    <w:rsid w:val="006F7C81"/>
    <w:rsid w:val="00700E50"/>
    <w:rsid w:val="00701C7C"/>
    <w:rsid w:val="00702AC8"/>
    <w:rsid w:val="00705189"/>
    <w:rsid w:val="00705B86"/>
    <w:rsid w:val="00707F7A"/>
    <w:rsid w:val="00722F72"/>
    <w:rsid w:val="007239FE"/>
    <w:rsid w:val="0073090A"/>
    <w:rsid w:val="0073399B"/>
    <w:rsid w:val="007341FA"/>
    <w:rsid w:val="0074025D"/>
    <w:rsid w:val="00743561"/>
    <w:rsid w:val="00746F2C"/>
    <w:rsid w:val="007511B4"/>
    <w:rsid w:val="00751CAC"/>
    <w:rsid w:val="007526C1"/>
    <w:rsid w:val="007532DC"/>
    <w:rsid w:val="007535F0"/>
    <w:rsid w:val="00755D91"/>
    <w:rsid w:val="00760D81"/>
    <w:rsid w:val="00761246"/>
    <w:rsid w:val="00761D08"/>
    <w:rsid w:val="007654DD"/>
    <w:rsid w:val="00765F14"/>
    <w:rsid w:val="0077259B"/>
    <w:rsid w:val="00773F6B"/>
    <w:rsid w:val="0077506F"/>
    <w:rsid w:val="007769AD"/>
    <w:rsid w:val="00777BF5"/>
    <w:rsid w:val="00781AF0"/>
    <w:rsid w:val="0078247C"/>
    <w:rsid w:val="00784893"/>
    <w:rsid w:val="0078511A"/>
    <w:rsid w:val="007858E1"/>
    <w:rsid w:val="00786005"/>
    <w:rsid w:val="00786D68"/>
    <w:rsid w:val="00790005"/>
    <w:rsid w:val="00791464"/>
    <w:rsid w:val="00791DD2"/>
    <w:rsid w:val="00794BB4"/>
    <w:rsid w:val="007A1E4A"/>
    <w:rsid w:val="007A399D"/>
    <w:rsid w:val="007A6DDC"/>
    <w:rsid w:val="007B08BC"/>
    <w:rsid w:val="007B3A8C"/>
    <w:rsid w:val="007B6D9F"/>
    <w:rsid w:val="007B6E89"/>
    <w:rsid w:val="007C2690"/>
    <w:rsid w:val="007C4DC3"/>
    <w:rsid w:val="007C6042"/>
    <w:rsid w:val="007D57F6"/>
    <w:rsid w:val="007D5AF8"/>
    <w:rsid w:val="007E1ECE"/>
    <w:rsid w:val="007E30D7"/>
    <w:rsid w:val="007E345C"/>
    <w:rsid w:val="007E7080"/>
    <w:rsid w:val="007E75F7"/>
    <w:rsid w:val="007E7F22"/>
    <w:rsid w:val="007F1505"/>
    <w:rsid w:val="007F1B28"/>
    <w:rsid w:val="007F3CF1"/>
    <w:rsid w:val="007F790E"/>
    <w:rsid w:val="00802EE8"/>
    <w:rsid w:val="00806C36"/>
    <w:rsid w:val="00806DDC"/>
    <w:rsid w:val="00811747"/>
    <w:rsid w:val="00811CD1"/>
    <w:rsid w:val="00811FD9"/>
    <w:rsid w:val="008160DB"/>
    <w:rsid w:val="00817B59"/>
    <w:rsid w:val="00820BDF"/>
    <w:rsid w:val="00821995"/>
    <w:rsid w:val="008277DF"/>
    <w:rsid w:val="00830651"/>
    <w:rsid w:val="0083101C"/>
    <w:rsid w:val="00831ABA"/>
    <w:rsid w:val="008352DB"/>
    <w:rsid w:val="008372A6"/>
    <w:rsid w:val="00837305"/>
    <w:rsid w:val="00837DD7"/>
    <w:rsid w:val="0084295F"/>
    <w:rsid w:val="008509F7"/>
    <w:rsid w:val="00851B22"/>
    <w:rsid w:val="00853692"/>
    <w:rsid w:val="00863CF8"/>
    <w:rsid w:val="0086425D"/>
    <w:rsid w:val="00866C13"/>
    <w:rsid w:val="00870D4D"/>
    <w:rsid w:val="0087388B"/>
    <w:rsid w:val="00874485"/>
    <w:rsid w:val="00877A2F"/>
    <w:rsid w:val="0088085B"/>
    <w:rsid w:val="00880DF1"/>
    <w:rsid w:val="00885D9F"/>
    <w:rsid w:val="00886B36"/>
    <w:rsid w:val="00891DC0"/>
    <w:rsid w:val="00897162"/>
    <w:rsid w:val="008A09C9"/>
    <w:rsid w:val="008A4172"/>
    <w:rsid w:val="008A4789"/>
    <w:rsid w:val="008B369C"/>
    <w:rsid w:val="008B487D"/>
    <w:rsid w:val="008B72D7"/>
    <w:rsid w:val="008B7C05"/>
    <w:rsid w:val="008C0E74"/>
    <w:rsid w:val="008C14C3"/>
    <w:rsid w:val="008C32C4"/>
    <w:rsid w:val="008C3DF8"/>
    <w:rsid w:val="008C5F46"/>
    <w:rsid w:val="008C7596"/>
    <w:rsid w:val="008D0CF3"/>
    <w:rsid w:val="008D61A6"/>
    <w:rsid w:val="008E1061"/>
    <w:rsid w:val="008E44C8"/>
    <w:rsid w:val="008E48CE"/>
    <w:rsid w:val="008E6AD0"/>
    <w:rsid w:val="008E7BA2"/>
    <w:rsid w:val="008F1B00"/>
    <w:rsid w:val="008F35E1"/>
    <w:rsid w:val="008F4078"/>
    <w:rsid w:val="008F4245"/>
    <w:rsid w:val="008F5387"/>
    <w:rsid w:val="008F5E20"/>
    <w:rsid w:val="009020F5"/>
    <w:rsid w:val="00904F9F"/>
    <w:rsid w:val="00917589"/>
    <w:rsid w:val="009201A8"/>
    <w:rsid w:val="00921E41"/>
    <w:rsid w:val="00922BE5"/>
    <w:rsid w:val="0092378A"/>
    <w:rsid w:val="00930FDB"/>
    <w:rsid w:val="00931DD4"/>
    <w:rsid w:val="00932D3B"/>
    <w:rsid w:val="009352F5"/>
    <w:rsid w:val="00935FAA"/>
    <w:rsid w:val="009377B6"/>
    <w:rsid w:val="00941208"/>
    <w:rsid w:val="00942303"/>
    <w:rsid w:val="00946325"/>
    <w:rsid w:val="009533DC"/>
    <w:rsid w:val="009542E9"/>
    <w:rsid w:val="0095625A"/>
    <w:rsid w:val="00964540"/>
    <w:rsid w:val="00964C43"/>
    <w:rsid w:val="00966DC8"/>
    <w:rsid w:val="00970468"/>
    <w:rsid w:val="009706C4"/>
    <w:rsid w:val="00971CE4"/>
    <w:rsid w:val="009744BC"/>
    <w:rsid w:val="00976836"/>
    <w:rsid w:val="00977525"/>
    <w:rsid w:val="009831AE"/>
    <w:rsid w:val="00983F05"/>
    <w:rsid w:val="0098472D"/>
    <w:rsid w:val="00985074"/>
    <w:rsid w:val="0098692E"/>
    <w:rsid w:val="009869FB"/>
    <w:rsid w:val="00987F49"/>
    <w:rsid w:val="0099047A"/>
    <w:rsid w:val="00992914"/>
    <w:rsid w:val="009A192C"/>
    <w:rsid w:val="009A7F55"/>
    <w:rsid w:val="009D0478"/>
    <w:rsid w:val="009D36DD"/>
    <w:rsid w:val="009D3870"/>
    <w:rsid w:val="009D4939"/>
    <w:rsid w:val="009D4D13"/>
    <w:rsid w:val="009D5F6B"/>
    <w:rsid w:val="009E2128"/>
    <w:rsid w:val="009E2E0E"/>
    <w:rsid w:val="009E3EDE"/>
    <w:rsid w:val="009E54C9"/>
    <w:rsid w:val="009E6229"/>
    <w:rsid w:val="009F5C8F"/>
    <w:rsid w:val="00A04CA4"/>
    <w:rsid w:val="00A076A2"/>
    <w:rsid w:val="00A15107"/>
    <w:rsid w:val="00A1596D"/>
    <w:rsid w:val="00A16962"/>
    <w:rsid w:val="00A17575"/>
    <w:rsid w:val="00A23712"/>
    <w:rsid w:val="00A23A64"/>
    <w:rsid w:val="00A24AD4"/>
    <w:rsid w:val="00A259FC"/>
    <w:rsid w:val="00A269F8"/>
    <w:rsid w:val="00A2711E"/>
    <w:rsid w:val="00A306F7"/>
    <w:rsid w:val="00A32A63"/>
    <w:rsid w:val="00A331E5"/>
    <w:rsid w:val="00A33596"/>
    <w:rsid w:val="00A35358"/>
    <w:rsid w:val="00A3560E"/>
    <w:rsid w:val="00A36937"/>
    <w:rsid w:val="00A3740E"/>
    <w:rsid w:val="00A436BF"/>
    <w:rsid w:val="00A43E1E"/>
    <w:rsid w:val="00A43E5A"/>
    <w:rsid w:val="00A4419C"/>
    <w:rsid w:val="00A47DE5"/>
    <w:rsid w:val="00A516CD"/>
    <w:rsid w:val="00A536ED"/>
    <w:rsid w:val="00A5442E"/>
    <w:rsid w:val="00A55689"/>
    <w:rsid w:val="00A56342"/>
    <w:rsid w:val="00A57EB1"/>
    <w:rsid w:val="00A6000D"/>
    <w:rsid w:val="00A61880"/>
    <w:rsid w:val="00A62775"/>
    <w:rsid w:val="00A63BD0"/>
    <w:rsid w:val="00A74AA3"/>
    <w:rsid w:val="00A77221"/>
    <w:rsid w:val="00A81DE6"/>
    <w:rsid w:val="00A821CE"/>
    <w:rsid w:val="00A8484C"/>
    <w:rsid w:val="00A855AA"/>
    <w:rsid w:val="00A86081"/>
    <w:rsid w:val="00A86C0F"/>
    <w:rsid w:val="00A905CB"/>
    <w:rsid w:val="00A91A1D"/>
    <w:rsid w:val="00A92332"/>
    <w:rsid w:val="00A92F70"/>
    <w:rsid w:val="00A939AE"/>
    <w:rsid w:val="00AA1FCE"/>
    <w:rsid w:val="00AA21AA"/>
    <w:rsid w:val="00AA4EAC"/>
    <w:rsid w:val="00AA5FDD"/>
    <w:rsid w:val="00AA7326"/>
    <w:rsid w:val="00AA7882"/>
    <w:rsid w:val="00AB2A41"/>
    <w:rsid w:val="00AB6FF9"/>
    <w:rsid w:val="00AB79C2"/>
    <w:rsid w:val="00AC2B7C"/>
    <w:rsid w:val="00AC34C8"/>
    <w:rsid w:val="00AC3C3B"/>
    <w:rsid w:val="00AC5876"/>
    <w:rsid w:val="00AD2B33"/>
    <w:rsid w:val="00AD3C40"/>
    <w:rsid w:val="00AD54A8"/>
    <w:rsid w:val="00AE2FED"/>
    <w:rsid w:val="00AE56CB"/>
    <w:rsid w:val="00AE6B7A"/>
    <w:rsid w:val="00AE6DE3"/>
    <w:rsid w:val="00AF12F5"/>
    <w:rsid w:val="00AF1C7E"/>
    <w:rsid w:val="00AF230E"/>
    <w:rsid w:val="00AF40B7"/>
    <w:rsid w:val="00B0214F"/>
    <w:rsid w:val="00B05CD2"/>
    <w:rsid w:val="00B06872"/>
    <w:rsid w:val="00B06C72"/>
    <w:rsid w:val="00B15FA7"/>
    <w:rsid w:val="00B2344A"/>
    <w:rsid w:val="00B23A3F"/>
    <w:rsid w:val="00B23CA3"/>
    <w:rsid w:val="00B260F1"/>
    <w:rsid w:val="00B27750"/>
    <w:rsid w:val="00B31C75"/>
    <w:rsid w:val="00B3212A"/>
    <w:rsid w:val="00B3250D"/>
    <w:rsid w:val="00B32D96"/>
    <w:rsid w:val="00B41DE6"/>
    <w:rsid w:val="00B42257"/>
    <w:rsid w:val="00B436A4"/>
    <w:rsid w:val="00B43F5D"/>
    <w:rsid w:val="00B45F98"/>
    <w:rsid w:val="00B46F04"/>
    <w:rsid w:val="00B47CC8"/>
    <w:rsid w:val="00B51DE7"/>
    <w:rsid w:val="00B53620"/>
    <w:rsid w:val="00B5488F"/>
    <w:rsid w:val="00B577A8"/>
    <w:rsid w:val="00B60B12"/>
    <w:rsid w:val="00B67E59"/>
    <w:rsid w:val="00B70DDE"/>
    <w:rsid w:val="00B7309B"/>
    <w:rsid w:val="00B759C8"/>
    <w:rsid w:val="00B80428"/>
    <w:rsid w:val="00B80D9C"/>
    <w:rsid w:val="00B818B9"/>
    <w:rsid w:val="00B832DB"/>
    <w:rsid w:val="00B87DA7"/>
    <w:rsid w:val="00B9175E"/>
    <w:rsid w:val="00BA27A1"/>
    <w:rsid w:val="00BA3439"/>
    <w:rsid w:val="00BA3B15"/>
    <w:rsid w:val="00BB16AF"/>
    <w:rsid w:val="00BB44CC"/>
    <w:rsid w:val="00BB6DBB"/>
    <w:rsid w:val="00BC2722"/>
    <w:rsid w:val="00BC2D30"/>
    <w:rsid w:val="00BC5669"/>
    <w:rsid w:val="00BD2A9D"/>
    <w:rsid w:val="00BE1EAB"/>
    <w:rsid w:val="00BE26D9"/>
    <w:rsid w:val="00BE2EE0"/>
    <w:rsid w:val="00BE46E9"/>
    <w:rsid w:val="00BF288E"/>
    <w:rsid w:val="00BF2C11"/>
    <w:rsid w:val="00BF4EAB"/>
    <w:rsid w:val="00BF5B53"/>
    <w:rsid w:val="00BF631A"/>
    <w:rsid w:val="00BF6E36"/>
    <w:rsid w:val="00C02443"/>
    <w:rsid w:val="00C04749"/>
    <w:rsid w:val="00C075E8"/>
    <w:rsid w:val="00C07EE3"/>
    <w:rsid w:val="00C124EB"/>
    <w:rsid w:val="00C140BE"/>
    <w:rsid w:val="00C14D92"/>
    <w:rsid w:val="00C1603E"/>
    <w:rsid w:val="00C248D4"/>
    <w:rsid w:val="00C3268E"/>
    <w:rsid w:val="00C3678C"/>
    <w:rsid w:val="00C37CC5"/>
    <w:rsid w:val="00C40480"/>
    <w:rsid w:val="00C4536D"/>
    <w:rsid w:val="00C4657C"/>
    <w:rsid w:val="00C55628"/>
    <w:rsid w:val="00C61403"/>
    <w:rsid w:val="00C626D3"/>
    <w:rsid w:val="00C64DD2"/>
    <w:rsid w:val="00C66475"/>
    <w:rsid w:val="00C72221"/>
    <w:rsid w:val="00C77DE4"/>
    <w:rsid w:val="00C82724"/>
    <w:rsid w:val="00C82AB6"/>
    <w:rsid w:val="00C83736"/>
    <w:rsid w:val="00C84EFE"/>
    <w:rsid w:val="00C85811"/>
    <w:rsid w:val="00C85C75"/>
    <w:rsid w:val="00C91D43"/>
    <w:rsid w:val="00C92059"/>
    <w:rsid w:val="00C93AAA"/>
    <w:rsid w:val="00C93E18"/>
    <w:rsid w:val="00C95687"/>
    <w:rsid w:val="00CA0758"/>
    <w:rsid w:val="00CA3ECF"/>
    <w:rsid w:val="00CA4E4F"/>
    <w:rsid w:val="00CA6D12"/>
    <w:rsid w:val="00CA7E1C"/>
    <w:rsid w:val="00CB3A16"/>
    <w:rsid w:val="00CB4610"/>
    <w:rsid w:val="00CB5423"/>
    <w:rsid w:val="00CC04C6"/>
    <w:rsid w:val="00CC17D8"/>
    <w:rsid w:val="00CC38BF"/>
    <w:rsid w:val="00CC67E3"/>
    <w:rsid w:val="00CD1852"/>
    <w:rsid w:val="00CD2A71"/>
    <w:rsid w:val="00CD319A"/>
    <w:rsid w:val="00CD461C"/>
    <w:rsid w:val="00CD7026"/>
    <w:rsid w:val="00CE008D"/>
    <w:rsid w:val="00CE0B44"/>
    <w:rsid w:val="00CE2009"/>
    <w:rsid w:val="00CE24AE"/>
    <w:rsid w:val="00CE2E30"/>
    <w:rsid w:val="00CE3E9F"/>
    <w:rsid w:val="00CE79CD"/>
    <w:rsid w:val="00CF2AA8"/>
    <w:rsid w:val="00CF6A27"/>
    <w:rsid w:val="00CF78DA"/>
    <w:rsid w:val="00CF7E13"/>
    <w:rsid w:val="00D10260"/>
    <w:rsid w:val="00D11230"/>
    <w:rsid w:val="00D17711"/>
    <w:rsid w:val="00D313C1"/>
    <w:rsid w:val="00D31502"/>
    <w:rsid w:val="00D31936"/>
    <w:rsid w:val="00D3343B"/>
    <w:rsid w:val="00D36E02"/>
    <w:rsid w:val="00D37E78"/>
    <w:rsid w:val="00D40956"/>
    <w:rsid w:val="00D41B4C"/>
    <w:rsid w:val="00D4304B"/>
    <w:rsid w:val="00D43BA5"/>
    <w:rsid w:val="00D472B4"/>
    <w:rsid w:val="00D50021"/>
    <w:rsid w:val="00D501B9"/>
    <w:rsid w:val="00D526A4"/>
    <w:rsid w:val="00D536D7"/>
    <w:rsid w:val="00D54705"/>
    <w:rsid w:val="00D54AB1"/>
    <w:rsid w:val="00D60932"/>
    <w:rsid w:val="00D6388F"/>
    <w:rsid w:val="00D65ACE"/>
    <w:rsid w:val="00D675FE"/>
    <w:rsid w:val="00D71A57"/>
    <w:rsid w:val="00D73A24"/>
    <w:rsid w:val="00D82A7B"/>
    <w:rsid w:val="00D84F96"/>
    <w:rsid w:val="00D90EB0"/>
    <w:rsid w:val="00D91607"/>
    <w:rsid w:val="00D919EC"/>
    <w:rsid w:val="00D93DAA"/>
    <w:rsid w:val="00D93ECB"/>
    <w:rsid w:val="00D93F5B"/>
    <w:rsid w:val="00D968C2"/>
    <w:rsid w:val="00DA116A"/>
    <w:rsid w:val="00DA3D26"/>
    <w:rsid w:val="00DA794F"/>
    <w:rsid w:val="00DB045A"/>
    <w:rsid w:val="00DB2C9D"/>
    <w:rsid w:val="00DB5035"/>
    <w:rsid w:val="00DC07DE"/>
    <w:rsid w:val="00DC1342"/>
    <w:rsid w:val="00DC5F79"/>
    <w:rsid w:val="00DC5FAF"/>
    <w:rsid w:val="00DD14AD"/>
    <w:rsid w:val="00DD1643"/>
    <w:rsid w:val="00DD66D2"/>
    <w:rsid w:val="00DE178F"/>
    <w:rsid w:val="00DE1977"/>
    <w:rsid w:val="00DE2837"/>
    <w:rsid w:val="00DE59D9"/>
    <w:rsid w:val="00DF04D7"/>
    <w:rsid w:val="00DF1023"/>
    <w:rsid w:val="00DF2891"/>
    <w:rsid w:val="00DF341A"/>
    <w:rsid w:val="00DF4596"/>
    <w:rsid w:val="00DF494C"/>
    <w:rsid w:val="00DF59E9"/>
    <w:rsid w:val="00E02E75"/>
    <w:rsid w:val="00E02FCA"/>
    <w:rsid w:val="00E06407"/>
    <w:rsid w:val="00E07917"/>
    <w:rsid w:val="00E1173F"/>
    <w:rsid w:val="00E12134"/>
    <w:rsid w:val="00E155E3"/>
    <w:rsid w:val="00E20498"/>
    <w:rsid w:val="00E2271B"/>
    <w:rsid w:val="00E23485"/>
    <w:rsid w:val="00E2747E"/>
    <w:rsid w:val="00E422EC"/>
    <w:rsid w:val="00E46969"/>
    <w:rsid w:val="00E47622"/>
    <w:rsid w:val="00E501C2"/>
    <w:rsid w:val="00E52466"/>
    <w:rsid w:val="00E52A1C"/>
    <w:rsid w:val="00E53FF4"/>
    <w:rsid w:val="00E541D0"/>
    <w:rsid w:val="00E5633E"/>
    <w:rsid w:val="00E603FE"/>
    <w:rsid w:val="00E6154E"/>
    <w:rsid w:val="00E6533A"/>
    <w:rsid w:val="00E70041"/>
    <w:rsid w:val="00E763B0"/>
    <w:rsid w:val="00E81A71"/>
    <w:rsid w:val="00E83381"/>
    <w:rsid w:val="00E83B18"/>
    <w:rsid w:val="00E92C91"/>
    <w:rsid w:val="00EA29D6"/>
    <w:rsid w:val="00EA4745"/>
    <w:rsid w:val="00EA7F9A"/>
    <w:rsid w:val="00EB04AD"/>
    <w:rsid w:val="00EB0CE1"/>
    <w:rsid w:val="00EB13EA"/>
    <w:rsid w:val="00EB1569"/>
    <w:rsid w:val="00EB3C72"/>
    <w:rsid w:val="00EB4DD5"/>
    <w:rsid w:val="00EB5285"/>
    <w:rsid w:val="00EB7273"/>
    <w:rsid w:val="00ED0C33"/>
    <w:rsid w:val="00ED2E1F"/>
    <w:rsid w:val="00ED7958"/>
    <w:rsid w:val="00EE01AD"/>
    <w:rsid w:val="00EE4530"/>
    <w:rsid w:val="00EF0EC2"/>
    <w:rsid w:val="00EF1004"/>
    <w:rsid w:val="00EF30CC"/>
    <w:rsid w:val="00EF4843"/>
    <w:rsid w:val="00EF5095"/>
    <w:rsid w:val="00EF7A3A"/>
    <w:rsid w:val="00F0024E"/>
    <w:rsid w:val="00F00B3E"/>
    <w:rsid w:val="00F01619"/>
    <w:rsid w:val="00F020CC"/>
    <w:rsid w:val="00F03DEE"/>
    <w:rsid w:val="00F06595"/>
    <w:rsid w:val="00F0670E"/>
    <w:rsid w:val="00F06F39"/>
    <w:rsid w:val="00F07D7B"/>
    <w:rsid w:val="00F103A8"/>
    <w:rsid w:val="00F14D19"/>
    <w:rsid w:val="00F164CC"/>
    <w:rsid w:val="00F165C7"/>
    <w:rsid w:val="00F2487C"/>
    <w:rsid w:val="00F24E38"/>
    <w:rsid w:val="00F26ED3"/>
    <w:rsid w:val="00F31E85"/>
    <w:rsid w:val="00F32BEF"/>
    <w:rsid w:val="00F35635"/>
    <w:rsid w:val="00F36C22"/>
    <w:rsid w:val="00F40EE1"/>
    <w:rsid w:val="00F41BF0"/>
    <w:rsid w:val="00F43E7F"/>
    <w:rsid w:val="00F5004C"/>
    <w:rsid w:val="00F556CF"/>
    <w:rsid w:val="00F55C8A"/>
    <w:rsid w:val="00F61763"/>
    <w:rsid w:val="00F61D69"/>
    <w:rsid w:val="00F70C94"/>
    <w:rsid w:val="00F711DD"/>
    <w:rsid w:val="00F73AEC"/>
    <w:rsid w:val="00F73BBF"/>
    <w:rsid w:val="00F753C4"/>
    <w:rsid w:val="00F77825"/>
    <w:rsid w:val="00F8048A"/>
    <w:rsid w:val="00F8084E"/>
    <w:rsid w:val="00F90D0E"/>
    <w:rsid w:val="00F91D39"/>
    <w:rsid w:val="00F926D1"/>
    <w:rsid w:val="00F944CA"/>
    <w:rsid w:val="00F97212"/>
    <w:rsid w:val="00F97D70"/>
    <w:rsid w:val="00FA0421"/>
    <w:rsid w:val="00FA1095"/>
    <w:rsid w:val="00FA4943"/>
    <w:rsid w:val="00FA73F8"/>
    <w:rsid w:val="00FB15C8"/>
    <w:rsid w:val="00FB1C70"/>
    <w:rsid w:val="00FB1EE6"/>
    <w:rsid w:val="00FB3F03"/>
    <w:rsid w:val="00FC62C4"/>
    <w:rsid w:val="00FC7394"/>
    <w:rsid w:val="00FD5DEA"/>
    <w:rsid w:val="00FD696A"/>
    <w:rsid w:val="00FE0C37"/>
    <w:rsid w:val="00FE3642"/>
    <w:rsid w:val="00FE4894"/>
    <w:rsid w:val="00FE7D7C"/>
    <w:rsid w:val="00FF20F0"/>
    <w:rsid w:val="00FF3F05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E1EB9"/>
  <w15:docId w15:val="{7F060CEC-FE21-440A-A50A-0FB1748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0651"/>
    <w:pPr>
      <w:keepNext/>
      <w:spacing w:before="240" w:after="60"/>
      <w:outlineLvl w:val="0"/>
    </w:pPr>
    <w:rPr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011622"/>
    <w:pPr>
      <w:keepNext/>
      <w:spacing w:before="240" w:after="60"/>
      <w:jc w:val="both"/>
      <w:outlineLvl w:val="1"/>
    </w:pPr>
    <w:rPr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31086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4D5E"/>
    <w:rPr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011622"/>
    <w:rPr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131086"/>
    <w:rPr>
      <w:rFonts w:eastAsia="Times New Roman" w:cs="Times New Roman"/>
      <w:b/>
      <w:bCs/>
      <w:sz w:val="24"/>
      <w:szCs w:val="26"/>
    </w:rPr>
  </w:style>
  <w:style w:type="paragraph" w:customStyle="1" w:styleId="Text1">
    <w:name w:val="Text 1"/>
    <w:basedOn w:val="Normal"/>
    <w:rsid w:val="00410D18"/>
    <w:pPr>
      <w:spacing w:after="240"/>
      <w:ind w:left="483"/>
      <w:jc w:val="both"/>
    </w:pPr>
    <w:rPr>
      <w:lang w:val="fr-FR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link w:val="1"/>
    <w:uiPriority w:val="99"/>
    <w:rsid w:val="00410D18"/>
    <w:rPr>
      <w:rFonts w:ascii="TimesNewRomanPS" w:hAnsi="TimesNewRomanPS" w:cs="Times New Roman"/>
      <w:position w:val="6"/>
      <w:sz w:val="16"/>
    </w:rPr>
  </w:style>
  <w:style w:type="paragraph" w:styleId="BodyText">
    <w:name w:val="Body Text"/>
    <w:basedOn w:val="Normal"/>
    <w:link w:val="BodyTextChar"/>
    <w:rsid w:val="00410D18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83101C"/>
    <w:rPr>
      <w:sz w:val="24"/>
      <w:szCs w:val="24"/>
      <w:lang w:val="fr-FR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rsid w:val="00410D18"/>
    <w:pPr>
      <w:spacing w:after="240"/>
      <w:ind w:left="357" w:hanging="357"/>
      <w:jc w:val="both"/>
    </w:pPr>
    <w:rPr>
      <w:sz w:val="20"/>
      <w:szCs w:val="20"/>
      <w:lang w:val="fr-FR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locked/>
    <w:rsid w:val="006E2A86"/>
    <w:rPr>
      <w:snapToGrid w:val="0"/>
      <w:lang w:val="fr-FR"/>
    </w:rPr>
  </w:style>
  <w:style w:type="paragraph" w:styleId="BalloonText">
    <w:name w:val="Balloon Text"/>
    <w:basedOn w:val="Normal"/>
    <w:semiHidden/>
    <w:rsid w:val="00410D18"/>
    <w:rPr>
      <w:sz w:val="16"/>
      <w:szCs w:val="16"/>
    </w:rPr>
  </w:style>
  <w:style w:type="paragraph" w:styleId="Header">
    <w:name w:val="header"/>
    <w:basedOn w:val="Normal"/>
    <w:link w:val="HeaderChar"/>
    <w:rsid w:val="00410D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10D18"/>
    <w:pPr>
      <w:tabs>
        <w:tab w:val="center" w:pos="4703"/>
        <w:tab w:val="right" w:pos="9406"/>
      </w:tabs>
    </w:pPr>
  </w:style>
  <w:style w:type="character" w:customStyle="1" w:styleId="tw4winMark">
    <w:name w:val="tw4winMark"/>
    <w:rsid w:val="00410D18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10D18"/>
    <w:rPr>
      <w:color w:val="00FF00"/>
      <w:sz w:val="40"/>
    </w:rPr>
  </w:style>
  <w:style w:type="character" w:customStyle="1" w:styleId="tw4winTerm">
    <w:name w:val="tw4winTerm"/>
    <w:rsid w:val="00410D18"/>
    <w:rPr>
      <w:color w:val="0000FF"/>
    </w:rPr>
  </w:style>
  <w:style w:type="character" w:customStyle="1" w:styleId="tw4winPopup">
    <w:name w:val="tw4winPopup"/>
    <w:rsid w:val="00410D18"/>
    <w:rPr>
      <w:noProof/>
      <w:color w:val="008000"/>
    </w:rPr>
  </w:style>
  <w:style w:type="character" w:customStyle="1" w:styleId="tw4winJump">
    <w:name w:val="tw4winJump"/>
    <w:rsid w:val="00410D18"/>
    <w:rPr>
      <w:noProof/>
      <w:color w:val="008080"/>
    </w:rPr>
  </w:style>
  <w:style w:type="character" w:customStyle="1" w:styleId="tw4winExternal">
    <w:name w:val="tw4winExternal"/>
    <w:rsid w:val="00410D18"/>
    <w:rPr>
      <w:noProof/>
      <w:color w:val="808080"/>
    </w:rPr>
  </w:style>
  <w:style w:type="character" w:customStyle="1" w:styleId="tw4winInternal">
    <w:name w:val="tw4winInternal"/>
    <w:rsid w:val="00410D18"/>
    <w:rPr>
      <w:noProof/>
      <w:color w:val="FF0000"/>
    </w:rPr>
  </w:style>
  <w:style w:type="character" w:customStyle="1" w:styleId="DONOTTRANSLATE">
    <w:name w:val="DO_NOT_TRANSLATE"/>
    <w:rsid w:val="00410D18"/>
    <w:rPr>
      <w:noProof/>
      <w:color w:val="800000"/>
    </w:rPr>
  </w:style>
  <w:style w:type="character" w:styleId="PageNumber">
    <w:name w:val="page number"/>
    <w:rsid w:val="001917C6"/>
    <w:rPr>
      <w:rFonts w:cs="Times New Roman"/>
    </w:rPr>
  </w:style>
  <w:style w:type="paragraph" w:styleId="ListParagraph">
    <w:name w:val="List Paragraph"/>
    <w:basedOn w:val="Normal"/>
    <w:uiPriority w:val="34"/>
    <w:qFormat/>
    <w:rsid w:val="00DF494C"/>
    <w:pPr>
      <w:ind w:left="720"/>
      <w:contextualSpacing/>
    </w:pPr>
  </w:style>
  <w:style w:type="character" w:styleId="CommentReference">
    <w:name w:val="annotation reference"/>
    <w:uiPriority w:val="99"/>
    <w:rsid w:val="009175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17589"/>
    <w:rPr>
      <w:rFonts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17589"/>
    <w:rPr>
      <w:b/>
      <w:bCs/>
    </w:rPr>
  </w:style>
  <w:style w:type="character" w:customStyle="1" w:styleId="CommentSubjectChar">
    <w:name w:val="Comment Subject Char"/>
    <w:link w:val="CommentSubject"/>
    <w:locked/>
    <w:rsid w:val="00917589"/>
    <w:rPr>
      <w:rFonts w:cs="Times New Roman"/>
      <w:b/>
      <w:bCs/>
      <w:snapToGrid w:val="0"/>
    </w:rPr>
  </w:style>
  <w:style w:type="character" w:styleId="Strong">
    <w:name w:val="Strong"/>
    <w:qFormat/>
    <w:locked/>
    <w:rsid w:val="002A0C4C"/>
    <w:rPr>
      <w:b/>
      <w:bCs/>
    </w:rPr>
  </w:style>
  <w:style w:type="character" w:styleId="BookTitle">
    <w:name w:val="Book Title"/>
    <w:uiPriority w:val="33"/>
    <w:qFormat/>
    <w:rsid w:val="002A0C4C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autoRedefine/>
    <w:qFormat/>
    <w:rsid w:val="00131086"/>
    <w:pPr>
      <w:tabs>
        <w:tab w:val="left" w:pos="851"/>
      </w:tabs>
      <w:ind w:left="851" w:hanging="425"/>
      <w:jc w:val="both"/>
    </w:pPr>
    <w:rPr>
      <w:i/>
      <w:lang w:eastAsia="en-US"/>
    </w:rPr>
  </w:style>
  <w:style w:type="character" w:customStyle="1" w:styleId="Style1Char">
    <w:name w:val="Style1 Char"/>
    <w:link w:val="Style1"/>
    <w:rsid w:val="00131086"/>
    <w:rPr>
      <w:i/>
      <w:sz w:val="24"/>
      <w:szCs w:val="24"/>
      <w:lang w:val="sl-SI" w:eastAsia="en-US"/>
    </w:rPr>
  </w:style>
  <w:style w:type="paragraph" w:styleId="Revision">
    <w:name w:val="Revision"/>
    <w:hidden/>
    <w:uiPriority w:val="99"/>
    <w:semiHidden/>
    <w:rsid w:val="000D03F9"/>
    <w:rPr>
      <w:sz w:val="24"/>
      <w:szCs w:val="24"/>
    </w:rPr>
  </w:style>
  <w:style w:type="character" w:styleId="Hyperlink">
    <w:name w:val="Hyperlink"/>
    <w:uiPriority w:val="99"/>
    <w:rsid w:val="00535660"/>
    <w:rPr>
      <w:color w:val="0000FF"/>
      <w:u w:val="single"/>
    </w:rPr>
  </w:style>
  <w:style w:type="character" w:styleId="FollowedHyperlink">
    <w:name w:val="FollowedHyperlink"/>
    <w:rsid w:val="002A2B0B"/>
    <w:rPr>
      <w:color w:val="800080"/>
      <w:u w:val="single"/>
    </w:rPr>
  </w:style>
  <w:style w:type="paragraph" w:customStyle="1" w:styleId="1">
    <w:name w:val="1"/>
    <w:basedOn w:val="Normal"/>
    <w:link w:val="FootnoteReference"/>
    <w:uiPriority w:val="99"/>
    <w:qFormat/>
    <w:rsid w:val="001138A4"/>
    <w:pPr>
      <w:spacing w:after="160" w:line="240" w:lineRule="exact"/>
    </w:pPr>
    <w:rPr>
      <w:rFonts w:ascii="TimesNewRomanPS" w:hAnsi="TimesNewRomanPS"/>
      <w:position w:val="6"/>
      <w:sz w:val="16"/>
      <w:szCs w:val="20"/>
    </w:rPr>
  </w:style>
  <w:style w:type="character" w:customStyle="1" w:styleId="HeaderChar">
    <w:name w:val="Header Char"/>
    <w:link w:val="Header"/>
    <w:rsid w:val="001942BB"/>
    <w:rPr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locked/>
    <w:rsid w:val="00AB79C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b/>
      <w:i/>
      <w:iCs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B79C2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articletitle">
    <w:name w:val="article title"/>
    <w:basedOn w:val="Normal"/>
    <w:qFormat/>
    <w:rsid w:val="00AB79C2"/>
    <w:pPr>
      <w:numPr>
        <w:numId w:val="14"/>
      </w:numPr>
      <w:suppressAutoHyphens/>
      <w:spacing w:after="200" w:line="276" w:lineRule="auto"/>
      <w:ind w:left="357" w:hanging="357"/>
    </w:pPr>
    <w:rPr>
      <w:rFonts w:eastAsia="Calibri"/>
      <w:b/>
      <w:lang w:eastAsia="ar-SA"/>
    </w:rPr>
  </w:style>
  <w:style w:type="paragraph" w:customStyle="1" w:styleId="paragraph">
    <w:name w:val="paragraph"/>
    <w:basedOn w:val="Normal"/>
    <w:link w:val="paragraphChar"/>
    <w:qFormat/>
    <w:rsid w:val="00AB79C2"/>
    <w:pPr>
      <w:numPr>
        <w:ilvl w:val="1"/>
        <w:numId w:val="14"/>
      </w:numPr>
      <w:jc w:val="both"/>
    </w:pPr>
    <w:rPr>
      <w:snapToGrid w:val="0"/>
    </w:rPr>
  </w:style>
  <w:style w:type="character" w:customStyle="1" w:styleId="paragraphChar">
    <w:name w:val="paragraph Char"/>
    <w:link w:val="paragraph"/>
    <w:rsid w:val="00AB79C2"/>
    <w:rPr>
      <w:snapToGrid w:val="0"/>
      <w:sz w:val="24"/>
      <w:szCs w:val="24"/>
    </w:rPr>
  </w:style>
  <w:style w:type="numbering" w:customStyle="1" w:styleId="PartI">
    <w:name w:val="Part I"/>
    <w:rsid w:val="00AB79C2"/>
    <w:pPr>
      <w:numPr>
        <w:numId w:val="16"/>
      </w:numPr>
    </w:pPr>
  </w:style>
  <w:style w:type="character" w:customStyle="1" w:styleId="WW8Num2z0">
    <w:name w:val="WW8Num2z0"/>
    <w:rsid w:val="00DF4596"/>
    <w:rPr>
      <w:rFonts w:ascii="Times New Roman" w:hAnsi="Times New Roman" w:cs="Times New Roman" w:hint="default"/>
    </w:rPr>
  </w:style>
  <w:style w:type="character" w:customStyle="1" w:styleId="FootnoteTextChar1">
    <w:name w:val="Footnote Text Char1"/>
    <w:basedOn w:val="DefaultParagraphFont"/>
    <w:uiPriority w:val="99"/>
    <w:rsid w:val="00DF45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Voetnoottekens">
    <w:name w:val="Voetnoottekens"/>
    <w:rsid w:val="00FA4943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A494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ListDash">
    <w:name w:val="List Dash"/>
    <w:basedOn w:val="Normal"/>
    <w:rsid w:val="00FA4943"/>
    <w:pPr>
      <w:numPr>
        <w:numId w:val="20"/>
      </w:numPr>
      <w:spacing w:after="240"/>
      <w:jc w:val="both"/>
    </w:pPr>
    <w:rPr>
      <w:szCs w:val="20"/>
      <w:lang w:eastAsia="en-US"/>
    </w:rPr>
  </w:style>
  <w:style w:type="paragraph" w:styleId="ListBullet">
    <w:name w:val="List Bullet"/>
    <w:basedOn w:val="Normal"/>
    <w:rsid w:val="00935FAA"/>
    <w:pPr>
      <w:numPr>
        <w:numId w:val="22"/>
      </w:numPr>
      <w:spacing w:after="240"/>
      <w:jc w:val="both"/>
    </w:pPr>
    <w:rPr>
      <w:szCs w:val="20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D2A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2ACC"/>
  </w:style>
  <w:style w:type="character" w:styleId="EndnoteReference">
    <w:name w:val="endnote reference"/>
    <w:basedOn w:val="DefaultParagraphFont"/>
    <w:semiHidden/>
    <w:unhideWhenUsed/>
    <w:rsid w:val="002D2ACC"/>
    <w:rPr>
      <w:vertAlign w:val="superscript"/>
    </w:rPr>
  </w:style>
  <w:style w:type="paragraph" w:styleId="NoSpacing">
    <w:name w:val="No Spacing"/>
    <w:uiPriority w:val="1"/>
    <w:qFormat/>
    <w:rsid w:val="00494B6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movit.s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c.europa.eu/youth/solidarity-corps/resources-and-contacts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2ff164c7110da05aa7bef6ce858b3aa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3edf6479cbf684ab3bf71b7bc5f562e7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9c8edfa-0c89-4db5-84aa-c604a671fbfe">Grant agreements</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59B2-9CBB-488C-A2F6-843295FDE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9BEC-21DB-4CFE-8BF1-917E991BED0C}">
  <ds:schemaRefs>
    <ds:schemaRef ds:uri="http://schemas.microsoft.com/office/2006/metadata/properties"/>
    <ds:schemaRef ds:uri="http://schemas.microsoft.com/office/2006/documentManagement/types"/>
    <ds:schemaRef ds:uri="09c8edfa-0c89-4db5-84aa-c604a671fbf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9C91D0-6FC3-4FF0-86F2-E0BDC28CD8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5DBB2B-68DB-45A8-9F13-C1BC669FA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80BDB-64C6-4CE1-B1A9-0368CC2B2D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DAFA0C-A5E3-4E46-871E-0E172D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2514</Words>
  <Characters>15196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ANNEXE II - MODELE DE CONVENTION SPECIFIQUE DE SUBVENTION A L'ACTION</vt:lpstr>
      <vt:lpstr>ANNEXE II - MODELE DE CONVENTION SPECIFIQUE DE SUBVENTION A L'ACTION</vt:lpstr>
      <vt:lpstr>ANNEXE II - MODELE DE CONVENTION SPECIFIQUE DE SUBVENTION A L'ACTION</vt:lpstr>
    </vt:vector>
  </TitlesOfParts>
  <Company>European Commission</Company>
  <LinksUpToDate>false</LinksUpToDate>
  <CharactersWithSpaces>17675</CharactersWithSpaces>
  <SharedDoc>false</SharedDoc>
  <HLinks>
    <vt:vector size="36" baseType="variant">
      <vt:variant>
        <vt:i4>4587560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II - MODELE DE CONVENTION SPECIFIQUE DE SUBVENTION A L'ACTION</dc:title>
  <dc:creator>guerycl</dc:creator>
  <cp:lastModifiedBy>Ana Anzeljc</cp:lastModifiedBy>
  <cp:revision>14</cp:revision>
  <cp:lastPrinted>2016-06-21T10:49:00Z</cp:lastPrinted>
  <dcterms:created xsi:type="dcterms:W3CDTF">2019-02-06T11:12:00Z</dcterms:created>
  <dcterms:modified xsi:type="dcterms:W3CDTF">2019-02-12T10:59:00Z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ategory">
    <vt:lpwstr>Grant agreements</vt:lpwstr>
  </property>
  <property fmtid="{D5CDD505-2E9C-101B-9397-08002B2CF9AE}" pid="5" name="ContentTypeId">
    <vt:lpwstr>0x010100D0966A0EB06BCE41920AE7F09F889088</vt:lpwstr>
  </property>
</Properties>
</file>