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0" w:rsidRPr="00505D7C" w:rsidRDefault="00BA1CE0" w:rsidP="009039D3">
      <w:pPr>
        <w:spacing w:after="0" w:line="240" w:lineRule="auto"/>
        <w:jc w:val="center"/>
        <w:rPr>
          <w:rFonts w:ascii="Arial Narrow" w:hAnsi="Arial Narrow"/>
          <w:b/>
          <w:sz w:val="18"/>
          <w:szCs w:val="18"/>
          <w:lang w:val="sl-SI"/>
        </w:rPr>
      </w:pPr>
    </w:p>
    <w:p w:rsidR="003F48CC" w:rsidRPr="00505D7C" w:rsidRDefault="00AC0AFB" w:rsidP="009039D3">
      <w:pPr>
        <w:spacing w:after="0" w:line="240" w:lineRule="auto"/>
        <w:jc w:val="center"/>
        <w:rPr>
          <w:rFonts w:ascii="Arial Narrow" w:hAnsi="Arial Narrow"/>
          <w:b/>
          <w:sz w:val="20"/>
          <w:szCs w:val="20"/>
          <w:lang w:val="sl-SI"/>
        </w:rPr>
      </w:pPr>
      <w:r w:rsidRPr="00505D7C">
        <w:rPr>
          <w:rFonts w:ascii="Arial Narrow" w:hAnsi="Arial Narrow"/>
          <w:b/>
          <w:sz w:val="20"/>
          <w:szCs w:val="20"/>
          <w:lang w:val="sl-SI"/>
        </w:rPr>
        <w:t>PRILOGA I</w:t>
      </w:r>
      <w:r w:rsidR="001E4C85" w:rsidRPr="00505D7C">
        <w:rPr>
          <w:rFonts w:ascii="Arial Narrow" w:hAnsi="Arial Narrow"/>
          <w:b/>
          <w:sz w:val="20"/>
          <w:szCs w:val="20"/>
          <w:lang w:val="sl-SI"/>
        </w:rPr>
        <w:t>II</w:t>
      </w:r>
      <w:r w:rsidRPr="00505D7C">
        <w:rPr>
          <w:rFonts w:ascii="Arial Narrow" w:hAnsi="Arial Narrow"/>
          <w:b/>
          <w:sz w:val="20"/>
          <w:szCs w:val="20"/>
          <w:lang w:val="sl-SI"/>
        </w:rPr>
        <w:t xml:space="preserve"> </w:t>
      </w:r>
      <w:r w:rsidR="001E4C85" w:rsidRPr="00505D7C">
        <w:rPr>
          <w:rFonts w:ascii="Arial Narrow" w:hAnsi="Arial Narrow"/>
          <w:b/>
          <w:sz w:val="20"/>
          <w:szCs w:val="20"/>
          <w:lang w:val="sl-SI"/>
        </w:rPr>
        <w:t>–</w:t>
      </w:r>
      <w:r w:rsidRPr="00505D7C">
        <w:rPr>
          <w:rFonts w:ascii="Arial Narrow" w:hAnsi="Arial Narrow"/>
          <w:b/>
          <w:sz w:val="20"/>
          <w:szCs w:val="20"/>
          <w:lang w:val="sl-SI"/>
        </w:rPr>
        <w:t xml:space="preserve"> </w:t>
      </w:r>
      <w:r w:rsidR="001E4C85" w:rsidRPr="00505D7C">
        <w:rPr>
          <w:rFonts w:ascii="Arial Narrow" w:hAnsi="Arial Narrow"/>
          <w:b/>
          <w:sz w:val="20"/>
          <w:szCs w:val="20"/>
          <w:lang w:val="sl-SI"/>
        </w:rPr>
        <w:t>FINANČNA IN POGODBENA PRAVILA</w:t>
      </w:r>
    </w:p>
    <w:p w:rsidR="00BA1CE0" w:rsidRPr="00505D7C" w:rsidRDefault="00BA1CE0" w:rsidP="009039D3">
      <w:pPr>
        <w:spacing w:after="0" w:line="240" w:lineRule="auto"/>
        <w:jc w:val="both"/>
        <w:rPr>
          <w:rFonts w:ascii="Arial Narrow" w:hAnsi="Arial Narrow"/>
          <w:b/>
          <w:sz w:val="20"/>
          <w:szCs w:val="20"/>
          <w:lang w:val="sl-SI"/>
        </w:rPr>
      </w:pPr>
    </w:p>
    <w:p w:rsidR="00101E61" w:rsidRPr="00505D7C" w:rsidRDefault="00101E61" w:rsidP="009039D3">
      <w:pPr>
        <w:spacing w:after="0" w:line="240" w:lineRule="auto"/>
        <w:jc w:val="center"/>
        <w:rPr>
          <w:rFonts w:ascii="Arial Narrow" w:hAnsi="Arial Narrow"/>
          <w:b/>
          <w:sz w:val="20"/>
          <w:szCs w:val="20"/>
          <w:lang w:val="sl-SI"/>
        </w:rPr>
      </w:pPr>
      <w:r w:rsidRPr="00505D7C">
        <w:rPr>
          <w:rFonts w:ascii="Arial Narrow" w:hAnsi="Arial Narrow"/>
          <w:b/>
          <w:sz w:val="20"/>
          <w:szCs w:val="20"/>
          <w:lang w:val="sl-SI"/>
        </w:rPr>
        <w:t xml:space="preserve">Ključni ukrep 3: </w:t>
      </w:r>
      <w:r w:rsidRPr="00505D7C">
        <w:rPr>
          <w:rFonts w:ascii="Arial Narrow" w:eastAsia="Times New Roman" w:hAnsi="Arial Narrow" w:cs="Calibri"/>
          <w:b/>
          <w:snapToGrid w:val="0"/>
          <w:sz w:val="20"/>
          <w:szCs w:val="20"/>
          <w:lang w:eastAsia="en-GB"/>
        </w:rPr>
        <w:t xml:space="preserve">Strukturirani dialog – </w:t>
      </w:r>
      <w:proofErr w:type="spellStart"/>
      <w:r w:rsidRPr="00505D7C">
        <w:rPr>
          <w:rFonts w:ascii="Arial Narrow" w:eastAsia="Times New Roman" w:hAnsi="Arial Narrow" w:cs="Calibri"/>
          <w:b/>
          <w:snapToGrid w:val="0"/>
          <w:sz w:val="20"/>
          <w:szCs w:val="20"/>
          <w:lang w:eastAsia="en-GB"/>
        </w:rPr>
        <w:t>srečanja</w:t>
      </w:r>
      <w:proofErr w:type="spellEnd"/>
      <w:r w:rsidRPr="00505D7C">
        <w:rPr>
          <w:rFonts w:ascii="Arial Narrow" w:eastAsia="Times New Roman" w:hAnsi="Arial Narrow" w:cs="Calibri"/>
          <w:b/>
          <w:snapToGrid w:val="0"/>
          <w:sz w:val="20"/>
          <w:szCs w:val="20"/>
          <w:lang w:eastAsia="en-GB"/>
        </w:rPr>
        <w:t xml:space="preserve"> med </w:t>
      </w:r>
      <w:proofErr w:type="spellStart"/>
      <w:r w:rsidRPr="00505D7C">
        <w:rPr>
          <w:rFonts w:ascii="Arial Narrow" w:eastAsia="Times New Roman" w:hAnsi="Arial Narrow" w:cs="Calibri"/>
          <w:b/>
          <w:snapToGrid w:val="0"/>
          <w:sz w:val="20"/>
          <w:szCs w:val="20"/>
          <w:lang w:eastAsia="en-GB"/>
        </w:rPr>
        <w:t>mladimi</w:t>
      </w:r>
      <w:proofErr w:type="spellEnd"/>
      <w:r w:rsidRPr="00505D7C">
        <w:rPr>
          <w:rFonts w:ascii="Arial Narrow" w:eastAsia="Times New Roman" w:hAnsi="Arial Narrow" w:cs="Calibri"/>
          <w:b/>
          <w:snapToGrid w:val="0"/>
          <w:sz w:val="20"/>
          <w:szCs w:val="20"/>
          <w:lang w:eastAsia="en-GB"/>
        </w:rPr>
        <w:t xml:space="preserve"> in </w:t>
      </w:r>
      <w:proofErr w:type="spellStart"/>
      <w:r w:rsidRPr="00505D7C">
        <w:rPr>
          <w:rFonts w:ascii="Arial Narrow" w:eastAsia="Times New Roman" w:hAnsi="Arial Narrow" w:cs="Calibri"/>
          <w:b/>
          <w:snapToGrid w:val="0"/>
          <w:sz w:val="20"/>
          <w:szCs w:val="20"/>
          <w:lang w:eastAsia="en-GB"/>
        </w:rPr>
        <w:t>odločevalci</w:t>
      </w:r>
      <w:proofErr w:type="spellEnd"/>
      <w:r w:rsidRPr="00505D7C">
        <w:rPr>
          <w:rFonts w:ascii="Arial Narrow" w:eastAsia="Times New Roman" w:hAnsi="Arial Narrow" w:cs="Calibri"/>
          <w:b/>
          <w:snapToGrid w:val="0"/>
          <w:sz w:val="20"/>
          <w:szCs w:val="20"/>
          <w:lang w:eastAsia="en-GB"/>
        </w:rPr>
        <w:t xml:space="preserve"> </w:t>
      </w:r>
      <w:proofErr w:type="spellStart"/>
      <w:r w:rsidRPr="00505D7C">
        <w:rPr>
          <w:rFonts w:ascii="Arial Narrow" w:eastAsia="Times New Roman" w:hAnsi="Arial Narrow" w:cs="Calibri"/>
          <w:b/>
          <w:snapToGrid w:val="0"/>
          <w:sz w:val="20"/>
          <w:szCs w:val="20"/>
          <w:lang w:eastAsia="en-GB"/>
        </w:rPr>
        <w:t>na</w:t>
      </w:r>
      <w:proofErr w:type="spellEnd"/>
      <w:r w:rsidRPr="00505D7C">
        <w:rPr>
          <w:rFonts w:ascii="Arial Narrow" w:eastAsia="Times New Roman" w:hAnsi="Arial Narrow" w:cs="Calibri"/>
          <w:b/>
          <w:snapToGrid w:val="0"/>
          <w:sz w:val="20"/>
          <w:szCs w:val="20"/>
          <w:lang w:eastAsia="en-GB"/>
        </w:rPr>
        <w:t xml:space="preserve"> </w:t>
      </w:r>
      <w:proofErr w:type="spellStart"/>
      <w:r w:rsidRPr="00505D7C">
        <w:rPr>
          <w:rFonts w:ascii="Arial Narrow" w:eastAsia="Times New Roman" w:hAnsi="Arial Narrow" w:cs="Calibri"/>
          <w:b/>
          <w:snapToGrid w:val="0"/>
          <w:sz w:val="20"/>
          <w:szCs w:val="20"/>
          <w:lang w:eastAsia="en-GB"/>
        </w:rPr>
        <w:t>področju</w:t>
      </w:r>
      <w:proofErr w:type="spellEnd"/>
      <w:r w:rsidRPr="00505D7C">
        <w:rPr>
          <w:rFonts w:ascii="Arial Narrow" w:eastAsia="Times New Roman" w:hAnsi="Arial Narrow" w:cs="Calibri"/>
          <w:b/>
          <w:snapToGrid w:val="0"/>
          <w:sz w:val="20"/>
          <w:szCs w:val="20"/>
          <w:lang w:eastAsia="en-GB"/>
        </w:rPr>
        <w:t xml:space="preserve"> </w:t>
      </w:r>
      <w:proofErr w:type="spellStart"/>
      <w:r w:rsidRPr="00505D7C">
        <w:rPr>
          <w:rFonts w:ascii="Arial Narrow" w:eastAsia="Times New Roman" w:hAnsi="Arial Narrow" w:cs="Calibri"/>
          <w:b/>
          <w:snapToGrid w:val="0"/>
          <w:sz w:val="20"/>
          <w:szCs w:val="20"/>
          <w:lang w:eastAsia="en-GB"/>
        </w:rPr>
        <w:t>mladine</w:t>
      </w:r>
      <w:proofErr w:type="spellEnd"/>
    </w:p>
    <w:p w:rsidR="00BA1CE0" w:rsidRPr="00505D7C" w:rsidRDefault="00BA1CE0" w:rsidP="009039D3">
      <w:pPr>
        <w:spacing w:after="0" w:line="240" w:lineRule="auto"/>
        <w:jc w:val="center"/>
        <w:rPr>
          <w:rFonts w:ascii="Arial Narrow" w:hAnsi="Arial Narrow"/>
          <w:b/>
          <w:sz w:val="20"/>
          <w:szCs w:val="20"/>
          <w:lang w:val="sl-SI"/>
        </w:rPr>
      </w:pPr>
    </w:p>
    <w:p w:rsidR="00BA1CE0" w:rsidRPr="00505D7C" w:rsidRDefault="00BA1CE0" w:rsidP="009039D3">
      <w:pPr>
        <w:spacing w:after="0" w:line="240" w:lineRule="auto"/>
        <w:jc w:val="both"/>
        <w:rPr>
          <w:rFonts w:ascii="Arial Narrow" w:hAnsi="Arial Narrow"/>
          <w:b/>
          <w:sz w:val="20"/>
          <w:szCs w:val="20"/>
          <w:lang w:val="sl-SI"/>
        </w:rPr>
      </w:pPr>
    </w:p>
    <w:p w:rsidR="001E4C85" w:rsidRPr="00505D7C" w:rsidRDefault="001E4C85" w:rsidP="009039D3">
      <w:pPr>
        <w:spacing w:after="0" w:line="240" w:lineRule="auto"/>
        <w:jc w:val="both"/>
        <w:rPr>
          <w:rFonts w:ascii="Arial Narrow" w:hAnsi="Arial Narrow"/>
          <w:b/>
          <w:sz w:val="18"/>
          <w:szCs w:val="18"/>
          <w:lang w:val="sl-SI"/>
        </w:rPr>
      </w:pPr>
    </w:p>
    <w:p w:rsidR="00893619" w:rsidRPr="00505D7C" w:rsidRDefault="00893619" w:rsidP="009039D3">
      <w:pPr>
        <w:tabs>
          <w:tab w:val="left" w:pos="851"/>
        </w:tabs>
        <w:spacing w:after="0" w:line="240" w:lineRule="auto"/>
        <w:jc w:val="both"/>
        <w:rPr>
          <w:rFonts w:ascii="Arial Narrow" w:hAnsi="Arial Narrow"/>
          <w:b/>
          <w:sz w:val="18"/>
          <w:szCs w:val="18"/>
          <w:lang w:val="sl-SI"/>
        </w:rPr>
      </w:pPr>
      <w:r w:rsidRPr="00505D7C">
        <w:rPr>
          <w:rFonts w:ascii="Arial Narrow" w:hAnsi="Arial Narrow"/>
          <w:b/>
          <w:sz w:val="18"/>
          <w:szCs w:val="18"/>
          <w:lang w:val="sl-SI"/>
        </w:rPr>
        <w:t xml:space="preserve">I. PRAVILA, KI SE UPORABLJAJO ZA POSTAVKE PRORAČUNA, KI TEMELJIJO NA PRISPEVKIH NA ENOTO </w:t>
      </w:r>
    </w:p>
    <w:p w:rsidR="00893619" w:rsidRPr="00505D7C" w:rsidRDefault="00893619" w:rsidP="009039D3">
      <w:pPr>
        <w:spacing w:after="0" w:line="240" w:lineRule="auto"/>
        <w:ind w:left="567" w:hanging="567"/>
        <w:jc w:val="both"/>
        <w:rPr>
          <w:rFonts w:ascii="Arial Narrow" w:eastAsia="Times New Roman" w:hAnsi="Arial Narrow"/>
          <w:sz w:val="18"/>
          <w:szCs w:val="18"/>
          <w:lang w:val="sl-SI"/>
        </w:rPr>
      </w:pPr>
    </w:p>
    <w:p w:rsidR="00893619" w:rsidRPr="00505D7C" w:rsidRDefault="00893619" w:rsidP="009039D3">
      <w:pPr>
        <w:spacing w:after="0" w:line="240" w:lineRule="auto"/>
        <w:jc w:val="both"/>
        <w:rPr>
          <w:rFonts w:ascii="Arial Narrow" w:hAnsi="Arial Narrow"/>
          <w:b/>
          <w:sz w:val="18"/>
          <w:szCs w:val="18"/>
          <w:lang w:val="sl-SI"/>
        </w:rPr>
      </w:pPr>
      <w:r w:rsidRPr="00505D7C">
        <w:rPr>
          <w:rFonts w:ascii="Arial Narrow" w:hAnsi="Arial Narrow"/>
          <w:b/>
          <w:sz w:val="18"/>
          <w:szCs w:val="18"/>
          <w:lang w:val="sl-SI"/>
        </w:rPr>
        <w:t>I.1 Pogoji upravičenosti prispevkov na enoto</w:t>
      </w:r>
    </w:p>
    <w:p w:rsidR="00893619" w:rsidRPr="00505D7C" w:rsidRDefault="00893619" w:rsidP="009039D3">
      <w:pPr>
        <w:spacing w:after="0" w:line="240" w:lineRule="auto"/>
        <w:jc w:val="both"/>
        <w:rPr>
          <w:rFonts w:ascii="Arial Narrow" w:hAnsi="Arial Narrow"/>
          <w:sz w:val="18"/>
          <w:szCs w:val="18"/>
          <w:lang w:val="sl-SI"/>
        </w:rPr>
      </w:pPr>
    </w:p>
    <w:p w:rsidR="00893619" w:rsidRPr="00505D7C" w:rsidRDefault="00893619" w:rsidP="009039D3">
      <w:pPr>
        <w:spacing w:after="0" w:line="240" w:lineRule="auto"/>
        <w:jc w:val="both"/>
        <w:rPr>
          <w:rFonts w:ascii="Arial Narrow" w:hAnsi="Arial Narrow"/>
          <w:sz w:val="18"/>
          <w:szCs w:val="18"/>
          <w:lang w:val="sl-SI"/>
        </w:rPr>
      </w:pPr>
      <w:r w:rsidRPr="00505D7C">
        <w:rPr>
          <w:rFonts w:ascii="Arial Narrow" w:hAnsi="Arial Narrow"/>
          <w:sz w:val="18"/>
          <w:szCs w:val="18"/>
          <w:lang w:val="sl-SI"/>
        </w:rPr>
        <w:t>Kadar se dotacija dodeli v obliki prispevkov na enoto, mora število enot ustrezati naslednjim pogojem:</w:t>
      </w:r>
    </w:p>
    <w:p w:rsidR="00893619" w:rsidRPr="00505D7C" w:rsidRDefault="00893619" w:rsidP="009039D3">
      <w:pPr>
        <w:spacing w:after="0" w:line="240" w:lineRule="auto"/>
        <w:jc w:val="both"/>
        <w:rPr>
          <w:rFonts w:ascii="Arial Narrow" w:hAnsi="Arial Narrow"/>
          <w:sz w:val="18"/>
          <w:szCs w:val="18"/>
          <w:lang w:val="sl-SI"/>
        </w:rPr>
      </w:pPr>
    </w:p>
    <w:p w:rsidR="00893619" w:rsidRPr="00505D7C" w:rsidRDefault="00893619" w:rsidP="009039D3">
      <w:pPr>
        <w:numPr>
          <w:ilvl w:val="0"/>
          <w:numId w:val="3"/>
        </w:numPr>
        <w:suppressAutoHyphens/>
        <w:spacing w:after="0" w:line="240" w:lineRule="auto"/>
        <w:jc w:val="both"/>
        <w:rPr>
          <w:rFonts w:ascii="Arial Narrow" w:hAnsi="Arial Narrow"/>
          <w:sz w:val="18"/>
          <w:szCs w:val="18"/>
          <w:lang w:val="sl-SI"/>
        </w:rPr>
      </w:pPr>
      <w:r w:rsidRPr="00505D7C">
        <w:rPr>
          <w:rFonts w:ascii="Arial Narrow" w:hAnsi="Arial Narrow"/>
          <w:sz w:val="18"/>
          <w:szCs w:val="18"/>
          <w:lang w:val="sl-SI"/>
        </w:rPr>
        <w:t>enote morajo biti dejansko porabljene ali proizvedene v obdobju, ki je določeno v členu I.2.2  Posebnih pogojev;</w:t>
      </w:r>
    </w:p>
    <w:p w:rsidR="00893619" w:rsidRPr="00505D7C" w:rsidRDefault="00893619" w:rsidP="009039D3">
      <w:pPr>
        <w:spacing w:after="0" w:line="240" w:lineRule="auto"/>
        <w:ind w:left="720"/>
        <w:jc w:val="both"/>
        <w:rPr>
          <w:rFonts w:ascii="Arial Narrow" w:hAnsi="Arial Narrow"/>
          <w:sz w:val="18"/>
          <w:szCs w:val="18"/>
          <w:lang w:val="sl-SI"/>
        </w:rPr>
      </w:pPr>
    </w:p>
    <w:p w:rsidR="00893619" w:rsidRPr="00505D7C" w:rsidRDefault="00893619" w:rsidP="009039D3">
      <w:pPr>
        <w:numPr>
          <w:ilvl w:val="0"/>
          <w:numId w:val="3"/>
        </w:numPr>
        <w:autoSpaceDE w:val="0"/>
        <w:autoSpaceDN w:val="0"/>
        <w:adjustRightInd w:val="0"/>
        <w:spacing w:after="0" w:line="240" w:lineRule="auto"/>
        <w:rPr>
          <w:rFonts w:ascii="Arial Narrow" w:hAnsi="Arial Narrow"/>
          <w:sz w:val="18"/>
          <w:szCs w:val="18"/>
          <w:lang w:val="sl-SI"/>
        </w:rPr>
      </w:pPr>
      <w:r w:rsidRPr="00505D7C">
        <w:rPr>
          <w:rFonts w:ascii="Arial Narrow" w:hAnsi="Arial Narrow"/>
          <w:sz w:val="18"/>
          <w:szCs w:val="18"/>
          <w:lang w:val="sl-SI"/>
        </w:rPr>
        <w:t>enote morajo biti potrebne za izvajanje projekta oz. morajo nastati v okviru projekta;</w:t>
      </w:r>
    </w:p>
    <w:p w:rsidR="00893619" w:rsidRPr="00505D7C" w:rsidRDefault="00893619" w:rsidP="009039D3">
      <w:pPr>
        <w:autoSpaceDE w:val="0"/>
        <w:autoSpaceDN w:val="0"/>
        <w:adjustRightInd w:val="0"/>
        <w:spacing w:after="0" w:line="240" w:lineRule="auto"/>
        <w:ind w:left="720"/>
        <w:rPr>
          <w:rFonts w:ascii="Arial Narrow" w:hAnsi="Arial Narrow"/>
          <w:sz w:val="18"/>
          <w:szCs w:val="18"/>
          <w:lang w:val="sl-SI"/>
        </w:rPr>
      </w:pPr>
    </w:p>
    <w:p w:rsidR="00893619" w:rsidRPr="00505D7C" w:rsidRDefault="00893619" w:rsidP="009039D3">
      <w:pPr>
        <w:numPr>
          <w:ilvl w:val="0"/>
          <w:numId w:val="3"/>
        </w:numPr>
        <w:autoSpaceDE w:val="0"/>
        <w:autoSpaceDN w:val="0"/>
        <w:adjustRightInd w:val="0"/>
        <w:spacing w:after="0" w:line="240" w:lineRule="auto"/>
        <w:rPr>
          <w:rFonts w:ascii="Arial Narrow" w:hAnsi="Arial Narrow"/>
          <w:sz w:val="18"/>
          <w:szCs w:val="18"/>
          <w:lang w:val="sl-SI"/>
        </w:rPr>
      </w:pPr>
      <w:r w:rsidRPr="00505D7C">
        <w:rPr>
          <w:rFonts w:ascii="Arial Narrow" w:hAnsi="Arial Narrow"/>
          <w:sz w:val="18"/>
          <w:szCs w:val="18"/>
          <w:lang w:val="sl-SI"/>
        </w:rPr>
        <w:t xml:space="preserve">število enot mora biti določljivo in preverljivo ter, zlasti, podprto z evidencami in dokumenti, ki so določeni v tej prilogi. </w:t>
      </w:r>
    </w:p>
    <w:p w:rsidR="00893619" w:rsidRPr="00505D7C" w:rsidRDefault="00893619" w:rsidP="009039D3">
      <w:pPr>
        <w:autoSpaceDE w:val="0"/>
        <w:autoSpaceDN w:val="0"/>
        <w:adjustRightInd w:val="0"/>
        <w:spacing w:after="0" w:line="240" w:lineRule="auto"/>
        <w:ind w:left="720"/>
        <w:rPr>
          <w:rFonts w:ascii="Arial Narrow" w:hAnsi="Arial Narrow"/>
          <w:sz w:val="18"/>
          <w:szCs w:val="18"/>
          <w:lang w:val="sl-SI"/>
        </w:rPr>
      </w:pPr>
    </w:p>
    <w:p w:rsidR="00893619" w:rsidRPr="00505D7C" w:rsidRDefault="00893619" w:rsidP="009039D3">
      <w:pPr>
        <w:autoSpaceDE w:val="0"/>
        <w:autoSpaceDN w:val="0"/>
        <w:adjustRightInd w:val="0"/>
        <w:spacing w:after="0" w:line="240" w:lineRule="auto"/>
        <w:rPr>
          <w:rFonts w:ascii="Arial Narrow" w:hAnsi="Arial Narrow"/>
          <w:sz w:val="18"/>
          <w:szCs w:val="18"/>
          <w:lang w:val="sl-SI"/>
        </w:rPr>
      </w:pPr>
    </w:p>
    <w:p w:rsidR="00893619" w:rsidRPr="00505D7C" w:rsidRDefault="00893619" w:rsidP="009039D3">
      <w:pPr>
        <w:jc w:val="both"/>
        <w:rPr>
          <w:rFonts w:ascii="Arial Narrow" w:hAnsi="Arial Narrow"/>
          <w:b/>
          <w:sz w:val="18"/>
          <w:szCs w:val="18"/>
          <w:lang w:val="sl-SI"/>
        </w:rPr>
      </w:pPr>
      <w:r w:rsidRPr="00505D7C">
        <w:rPr>
          <w:rFonts w:ascii="Arial Narrow" w:hAnsi="Arial Narrow"/>
          <w:b/>
          <w:sz w:val="18"/>
          <w:szCs w:val="18"/>
          <w:lang w:val="sl-SI"/>
        </w:rPr>
        <w:t>I.2 Izračun in dokazila za prispevke na enoto</w:t>
      </w:r>
    </w:p>
    <w:p w:rsidR="00893619" w:rsidRPr="00505D7C" w:rsidRDefault="00893619" w:rsidP="009039D3">
      <w:pPr>
        <w:numPr>
          <w:ilvl w:val="0"/>
          <w:numId w:val="25"/>
        </w:numPr>
        <w:tabs>
          <w:tab w:val="left" w:pos="851"/>
        </w:tabs>
        <w:suppressAutoHyphens/>
        <w:spacing w:after="0" w:line="240" w:lineRule="auto"/>
        <w:jc w:val="both"/>
        <w:rPr>
          <w:rFonts w:ascii="Arial Narrow" w:hAnsi="Arial Narrow"/>
          <w:sz w:val="18"/>
          <w:szCs w:val="18"/>
          <w:u w:val="single"/>
          <w:lang w:val="sl-SI"/>
        </w:rPr>
      </w:pPr>
      <w:r w:rsidRPr="00505D7C">
        <w:rPr>
          <w:rFonts w:ascii="Arial Narrow" w:hAnsi="Arial Narrow"/>
          <w:sz w:val="18"/>
          <w:szCs w:val="18"/>
          <w:u w:val="single"/>
          <w:lang w:val="sl-SI"/>
        </w:rPr>
        <w:t>Pot</w:t>
      </w:r>
    </w:p>
    <w:p w:rsidR="00893619" w:rsidRPr="00505D7C" w:rsidRDefault="00893619" w:rsidP="009039D3">
      <w:pPr>
        <w:tabs>
          <w:tab w:val="left" w:pos="851"/>
        </w:tabs>
        <w:spacing w:after="0" w:line="240" w:lineRule="auto"/>
        <w:jc w:val="both"/>
        <w:rPr>
          <w:rFonts w:ascii="Arial Narrow" w:hAnsi="Arial Narrow"/>
          <w:sz w:val="18"/>
          <w:szCs w:val="18"/>
          <w:lang w:val="sl-SI"/>
        </w:rPr>
      </w:pPr>
    </w:p>
    <w:p w:rsidR="004A4712" w:rsidRPr="004A4712" w:rsidRDefault="004A4712" w:rsidP="004A4712">
      <w:pPr>
        <w:ind w:left="567" w:hanging="567"/>
        <w:jc w:val="both"/>
        <w:rPr>
          <w:rFonts w:ascii="Arial Narrow" w:hAnsi="Arial Narrow"/>
          <w:sz w:val="18"/>
          <w:szCs w:val="18"/>
          <w:lang w:val="sl-SI"/>
        </w:rPr>
      </w:pPr>
      <w:r w:rsidRPr="004A4712">
        <w:rPr>
          <w:rFonts w:ascii="Arial Narrow" w:hAnsi="Arial Narrow"/>
          <w:sz w:val="18"/>
          <w:szCs w:val="18"/>
          <w:lang w:val="sl-SI"/>
        </w:rPr>
        <w:t>(a.1)</w:t>
      </w:r>
      <w:r w:rsidRPr="004A4712">
        <w:rPr>
          <w:rFonts w:ascii="Arial Narrow" w:hAnsi="Arial Narrow"/>
          <w:sz w:val="18"/>
          <w:szCs w:val="18"/>
          <w:lang w:val="sl-SI"/>
        </w:rPr>
        <w:tab/>
        <w:t>Izračun zneska dotacije: znesek dotacije za potne stroške se izračuna tako, da število udeležencev, vključno s spremljevalnimi osebami, za posamezno razdaljo pomnožimo s prispevkom na enoto, ki se uporablja za zadevno razdaljo, kot je določeno v Prilogi IV k sporazumu. Prispevek na enoto za razdaljo poti predstavlja znesek dotacije za povratno pot med krajem odhoda in krajem prihoda.</w:t>
      </w:r>
    </w:p>
    <w:p w:rsidR="004A4712" w:rsidRPr="004A4712" w:rsidRDefault="004A4712" w:rsidP="004A4712">
      <w:pPr>
        <w:pStyle w:val="Aodstavek"/>
        <w:rPr>
          <w:rFonts w:ascii="Arial Narrow" w:hAnsi="Arial Narrow"/>
          <w:sz w:val="18"/>
          <w:szCs w:val="18"/>
        </w:rPr>
      </w:pPr>
      <w:r w:rsidRPr="004A4712">
        <w:rPr>
          <w:rFonts w:ascii="Arial Narrow" w:hAnsi="Arial Narrow"/>
          <w:sz w:val="18"/>
          <w:szCs w:val="18"/>
        </w:rPr>
        <w:t xml:space="preserve">Za določitev uporabljene razdalje poti morajo upravičenci vnesti razdaljo enosmerne poti, ki jo izračunajo s spletnim kalkulatorjem razdalje, ki je na voljo na spletni strani Komisije, na naslovu:: </w:t>
      </w:r>
      <w:hyperlink r:id="rId8" w:history="1">
        <w:r w:rsidRPr="004A4712">
          <w:rPr>
            <w:rStyle w:val="Hyperlink"/>
            <w:rFonts w:ascii="Arial Narrow" w:eastAsiaTheme="majorEastAsia" w:hAnsi="Arial Narrow"/>
            <w:sz w:val="18"/>
            <w:szCs w:val="18"/>
          </w:rPr>
          <w:t>http://ec.europa.eu/programmes/erasmus-plus/tools/distance_en.htm</w:t>
        </w:r>
      </w:hyperlink>
      <w:r w:rsidRPr="004A4712">
        <w:rPr>
          <w:rFonts w:ascii="Arial Narrow" w:hAnsi="Arial Narrow"/>
          <w:sz w:val="18"/>
          <w:szCs w:val="18"/>
        </w:rPr>
        <w:t>. Upravičenci v orodju Mobility Tool+ nato izračunajo zneske dotacije za pot na podlagi veljavnih zneskov za prispevke na enoto.</w:t>
      </w:r>
    </w:p>
    <w:p w:rsidR="004A4712" w:rsidRPr="004A4712" w:rsidRDefault="004A4712" w:rsidP="004A4712">
      <w:pPr>
        <w:ind w:left="567" w:hanging="567"/>
        <w:jc w:val="both"/>
        <w:rPr>
          <w:rFonts w:ascii="Arial Narrow" w:hAnsi="Arial Narrow"/>
          <w:sz w:val="18"/>
          <w:szCs w:val="18"/>
          <w:lang w:val="sl-SI"/>
        </w:rPr>
      </w:pPr>
      <w:r w:rsidRPr="004A4712">
        <w:rPr>
          <w:rFonts w:ascii="Arial Narrow" w:hAnsi="Arial Narrow"/>
          <w:sz w:val="18"/>
          <w:szCs w:val="18"/>
          <w:lang w:val="sl-SI"/>
        </w:rPr>
        <w:t>(a.2)</w:t>
      </w:r>
      <w:r w:rsidRPr="004A4712">
        <w:rPr>
          <w:rFonts w:ascii="Arial Narrow" w:hAnsi="Arial Narrow"/>
          <w:sz w:val="18"/>
          <w:szCs w:val="18"/>
          <w:lang w:val="sl-SI"/>
        </w:rPr>
        <w:tab/>
        <w:t xml:space="preserve">Izračun dotacije za dodatek za drage notranje potne stroške: </w:t>
      </w:r>
      <w:r w:rsidRPr="004A4712">
        <w:rPr>
          <w:rFonts w:ascii="Arial Narrow" w:eastAsia="Times New Roman" w:hAnsi="Arial Narrow"/>
          <w:color w:val="000000"/>
          <w:sz w:val="18"/>
          <w:szCs w:val="18"/>
          <w:lang w:val="sl-SI" w:eastAsia="en-GB"/>
        </w:rPr>
        <w:t>znesek dotacije se izračuna tako, da pomnožimo število dragih notranjih povratnih potovanj, ki so jih opravili udeleženci, vključno s spremljevalnimi osebami, s prispevkom na enoto, ki velja za »dodatek za drage notranje potne stroške«, kot je določeno v Prilogi IV Sporazuma. Dodatek za drage notranje potne stroške poti se lahko zahteva samo, če pot poteka znotraj držav programa.</w:t>
      </w:r>
      <w:r w:rsidRPr="004A4712">
        <w:rPr>
          <w:rFonts w:ascii="Arial Narrow" w:hAnsi="Arial Narrow"/>
          <w:sz w:val="18"/>
          <w:szCs w:val="18"/>
          <w:lang w:val="sl-SI"/>
        </w:rPr>
        <w:t xml:space="preserve"> </w:t>
      </w:r>
    </w:p>
    <w:p w:rsidR="004A4712" w:rsidRPr="004A4712" w:rsidRDefault="004A4712" w:rsidP="004A4712">
      <w:pPr>
        <w:pStyle w:val="ListParagraph"/>
        <w:numPr>
          <w:ilvl w:val="0"/>
          <w:numId w:val="37"/>
        </w:numPr>
        <w:ind w:left="567" w:hanging="567"/>
        <w:jc w:val="both"/>
        <w:rPr>
          <w:rFonts w:ascii="Arial Narrow" w:hAnsi="Arial Narrow"/>
          <w:sz w:val="18"/>
          <w:szCs w:val="18"/>
          <w:lang w:val="sl-SI"/>
        </w:rPr>
      </w:pPr>
      <w:r w:rsidRPr="004A4712">
        <w:rPr>
          <w:rFonts w:ascii="Arial Narrow" w:hAnsi="Arial Narrow"/>
          <w:sz w:val="18"/>
          <w:szCs w:val="18"/>
          <w:lang w:val="sl-SI"/>
        </w:rPr>
        <w:t>Sprožilni dogodek: dogodek, s katerim je pogojena upravičenost do dotacije, je, da se je udeleženec dejansko udeležil aktivnosti.</w:t>
      </w:r>
    </w:p>
    <w:p w:rsidR="004A4712" w:rsidRPr="004A4712" w:rsidRDefault="004A4712" w:rsidP="004A4712">
      <w:pPr>
        <w:pStyle w:val="ListParagraph"/>
        <w:ind w:left="567"/>
        <w:jc w:val="both"/>
        <w:rPr>
          <w:rFonts w:ascii="Arial Narrow" w:hAnsi="Arial Narrow"/>
          <w:sz w:val="18"/>
          <w:szCs w:val="18"/>
          <w:lang w:val="sl-SI"/>
        </w:rPr>
      </w:pPr>
    </w:p>
    <w:p w:rsidR="004A4712" w:rsidRPr="004A4712" w:rsidRDefault="004A4712" w:rsidP="004A4712">
      <w:pPr>
        <w:pStyle w:val="ListParagraph"/>
        <w:spacing w:line="276" w:lineRule="auto"/>
        <w:ind w:left="567"/>
        <w:jc w:val="both"/>
        <w:rPr>
          <w:rFonts w:ascii="Arial Narrow" w:hAnsi="Arial Narrow"/>
          <w:sz w:val="18"/>
          <w:szCs w:val="18"/>
          <w:lang w:val="sl-SI"/>
        </w:rPr>
      </w:pPr>
      <w:r w:rsidRPr="004A4712">
        <w:rPr>
          <w:rFonts w:ascii="Arial Narrow" w:hAnsi="Arial Narrow"/>
          <w:sz w:val="18"/>
          <w:szCs w:val="18"/>
          <w:lang w:val="sl-SI"/>
        </w:rPr>
        <w:t>O upravičenosti do dotacije za drage notranje potne stroški odloči nacionalna agencija na podlagi predložene obrazložitve. Nacionalna agencija mora opraviti oceno utemeljitve na podlagi informacij, ki jih zagotovijo upravičenci in javno dostopnih informacij v zvezi z isto potjo. Upravičenost se ugotovi na podlagi običajne cene za pot in obdobje, v katerem je bilo potovanje opravljeno.</w:t>
      </w:r>
    </w:p>
    <w:p w:rsidR="004A4712" w:rsidRPr="004A4712" w:rsidRDefault="004A4712" w:rsidP="004A4712">
      <w:pPr>
        <w:pStyle w:val="ListParagraph"/>
        <w:ind w:left="567"/>
        <w:jc w:val="both"/>
        <w:rPr>
          <w:rFonts w:ascii="Arial Narrow" w:hAnsi="Arial Narrow"/>
          <w:sz w:val="18"/>
          <w:szCs w:val="18"/>
          <w:lang w:val="sl-SI"/>
        </w:rPr>
      </w:pPr>
    </w:p>
    <w:p w:rsidR="004A4712" w:rsidRPr="004A4712" w:rsidRDefault="004A4712" w:rsidP="004A4712">
      <w:pPr>
        <w:pStyle w:val="ListParagraph"/>
        <w:ind w:left="567"/>
        <w:jc w:val="both"/>
        <w:rPr>
          <w:rFonts w:ascii="Arial Narrow" w:hAnsi="Arial Narrow"/>
          <w:sz w:val="18"/>
          <w:szCs w:val="18"/>
          <w:lang w:val="sl-SI"/>
        </w:rPr>
      </w:pPr>
    </w:p>
    <w:p w:rsidR="004A4712" w:rsidRPr="004A4712" w:rsidRDefault="004A4712" w:rsidP="004A4712">
      <w:pPr>
        <w:pStyle w:val="ListParagraph"/>
        <w:numPr>
          <w:ilvl w:val="0"/>
          <w:numId w:val="37"/>
        </w:numPr>
        <w:ind w:left="567" w:hanging="567"/>
        <w:jc w:val="both"/>
        <w:rPr>
          <w:rFonts w:ascii="Arial Narrow" w:hAnsi="Arial Narrow"/>
          <w:sz w:val="18"/>
          <w:szCs w:val="18"/>
          <w:lang w:val="sl-SI"/>
        </w:rPr>
      </w:pPr>
      <w:r w:rsidRPr="004A4712">
        <w:rPr>
          <w:rFonts w:ascii="Arial Narrow" w:hAnsi="Arial Narrow"/>
          <w:sz w:val="18"/>
          <w:szCs w:val="18"/>
          <w:lang w:val="sl-SI"/>
        </w:rPr>
        <w:t xml:space="preserve">Dokazila: </w:t>
      </w:r>
    </w:p>
    <w:p w:rsidR="004A4712" w:rsidRPr="004A4712" w:rsidRDefault="004A4712" w:rsidP="004A4712">
      <w:pPr>
        <w:pStyle w:val="Alineja1"/>
        <w:rPr>
          <w:rFonts w:ascii="Arial Narrow" w:hAnsi="Arial Narrow"/>
          <w:sz w:val="18"/>
          <w:szCs w:val="18"/>
        </w:rPr>
      </w:pPr>
      <w:r w:rsidRPr="004A4712">
        <w:rPr>
          <w:rFonts w:ascii="Arial Narrow" w:hAnsi="Arial Narrow"/>
          <w:sz w:val="18"/>
          <w:szCs w:val="18"/>
        </w:rPr>
        <w:t xml:space="preserve">Za pot med krajem ene sodelujočih organizacij in krajem aktivnosti: dokazilo o udeležbi v aktivnosti v tujini v obliki izjave, ki jo podpišeta udeleženec in organizacija gostiteljica in ki vsebuje kraj začetka in konca aktivnosti ter ime udeleženca; </w:t>
      </w:r>
    </w:p>
    <w:p w:rsidR="004A4712" w:rsidRPr="004A4712" w:rsidRDefault="004A4712" w:rsidP="004A4712">
      <w:pPr>
        <w:pStyle w:val="Alineja1"/>
        <w:rPr>
          <w:rFonts w:ascii="Arial Narrow" w:hAnsi="Arial Narrow"/>
          <w:sz w:val="18"/>
          <w:szCs w:val="18"/>
        </w:rPr>
      </w:pPr>
      <w:r w:rsidRPr="004A4712">
        <w:rPr>
          <w:rFonts w:ascii="Arial Narrow" w:hAnsi="Arial Narrow"/>
          <w:sz w:val="18"/>
          <w:szCs w:val="18"/>
        </w:rPr>
        <w:t>V izrednem primeru poti iz kraja, ki ni enak kraju ene od sodelujočih organizacij, in/ali potovanja na kraj, ki ni enak kraju, kjer poteka aktivnost, zaradi česar se spremeni  razdalja, je treba dejansko pot dokazati z vozovnicami ali drugimi računi z navedenim krajem odhoda in krajem prihoda. V ustrezno utemeljenih izrednih primerih, kadar ni mogoče zagotoviti dokazil s strani tretjih oseb, lahko udeleženec in organizacija gostiteljica podpišeta izjavo, ki vsebuje kraj odhoda in kraj prihoda ter ime upravičenca.</w:t>
      </w:r>
    </w:p>
    <w:p w:rsidR="004A4712" w:rsidRPr="004A4712" w:rsidRDefault="004A4712" w:rsidP="004A4712">
      <w:pPr>
        <w:pStyle w:val="Alineja1"/>
        <w:numPr>
          <w:ilvl w:val="0"/>
          <w:numId w:val="0"/>
        </w:numPr>
        <w:ind w:left="992"/>
        <w:rPr>
          <w:rFonts w:ascii="Arial Narrow" w:hAnsi="Arial Narrow"/>
          <w:sz w:val="18"/>
          <w:szCs w:val="18"/>
        </w:rPr>
      </w:pPr>
    </w:p>
    <w:p w:rsidR="004A4712" w:rsidRPr="004A4712" w:rsidRDefault="004A4712" w:rsidP="004A4712">
      <w:pPr>
        <w:pStyle w:val="ListParagraph"/>
        <w:numPr>
          <w:ilvl w:val="0"/>
          <w:numId w:val="37"/>
        </w:numPr>
        <w:ind w:left="567" w:hanging="567"/>
        <w:jc w:val="both"/>
        <w:rPr>
          <w:rFonts w:ascii="Arial Narrow" w:hAnsi="Arial Narrow"/>
          <w:sz w:val="18"/>
          <w:szCs w:val="18"/>
          <w:lang w:val="sl-SI"/>
        </w:rPr>
      </w:pPr>
      <w:r w:rsidRPr="004A4712">
        <w:rPr>
          <w:rFonts w:ascii="Arial Narrow" w:hAnsi="Arial Narrow"/>
          <w:sz w:val="18"/>
          <w:szCs w:val="18"/>
          <w:lang w:val="sl-SI"/>
        </w:rPr>
        <w:t>Poročanje:</w:t>
      </w:r>
    </w:p>
    <w:p w:rsidR="004A4712" w:rsidRPr="004A4712" w:rsidRDefault="004A4712" w:rsidP="004A4712">
      <w:pPr>
        <w:pStyle w:val="Aodstavek"/>
        <w:rPr>
          <w:rFonts w:ascii="Arial Narrow" w:hAnsi="Arial Narrow"/>
          <w:sz w:val="18"/>
          <w:szCs w:val="18"/>
        </w:rPr>
      </w:pPr>
      <w:r w:rsidRPr="004A4712">
        <w:rPr>
          <w:rFonts w:ascii="Arial Narrow" w:hAnsi="Arial Narrow"/>
          <w:sz w:val="18"/>
          <w:szCs w:val="18"/>
        </w:rPr>
        <w:t>V primeru prošnje za dodatek za notranje potne stroške, mora koordinator predložiti opis dejanske poti in utemeljitev z obrazložitvijo, zakaj bolj ekonomična pot ni bila mogoča. Dejansko opravljeno pot ni mogoče utemeljiti s prikladnostjo, razen če bi bil za alternativno pot potreben več kot en dan potovanja za prihod na končni cilj ali za vrnitev na kraj odhoda.</w:t>
      </w:r>
    </w:p>
    <w:p w:rsidR="00893619" w:rsidRPr="00505D7C" w:rsidRDefault="00893619" w:rsidP="004A4712">
      <w:pPr>
        <w:spacing w:line="240" w:lineRule="auto"/>
        <w:jc w:val="both"/>
        <w:rPr>
          <w:rFonts w:ascii="Arial Narrow" w:hAnsi="Arial Narrow"/>
          <w:sz w:val="18"/>
          <w:szCs w:val="18"/>
          <w:lang w:val="sl-SI"/>
        </w:rPr>
      </w:pPr>
    </w:p>
    <w:p w:rsidR="00893619" w:rsidRPr="00505D7C" w:rsidRDefault="00893619" w:rsidP="009039D3">
      <w:pPr>
        <w:numPr>
          <w:ilvl w:val="0"/>
          <w:numId w:val="25"/>
        </w:numPr>
        <w:tabs>
          <w:tab w:val="left" w:pos="851"/>
        </w:tabs>
        <w:suppressAutoHyphens/>
        <w:spacing w:after="0" w:line="240" w:lineRule="auto"/>
        <w:jc w:val="both"/>
        <w:rPr>
          <w:rFonts w:ascii="Arial Narrow" w:hAnsi="Arial Narrow"/>
          <w:sz w:val="18"/>
          <w:szCs w:val="18"/>
          <w:u w:val="single"/>
          <w:lang w:val="sl-SI"/>
        </w:rPr>
      </w:pPr>
      <w:r w:rsidRPr="00505D7C">
        <w:rPr>
          <w:rFonts w:ascii="Arial Narrow" w:hAnsi="Arial Narrow"/>
          <w:sz w:val="18"/>
          <w:szCs w:val="18"/>
          <w:u w:val="single"/>
          <w:lang w:val="sl-SI"/>
        </w:rPr>
        <w:t>Organizacijska podpora</w:t>
      </w:r>
    </w:p>
    <w:p w:rsidR="00893619" w:rsidRPr="00505D7C" w:rsidRDefault="00893619" w:rsidP="009039D3">
      <w:pPr>
        <w:tabs>
          <w:tab w:val="left" w:pos="851"/>
        </w:tabs>
        <w:spacing w:after="0" w:line="240" w:lineRule="auto"/>
        <w:jc w:val="both"/>
        <w:rPr>
          <w:rFonts w:ascii="Arial Narrow" w:hAnsi="Arial Narrow"/>
          <w:sz w:val="18"/>
          <w:szCs w:val="18"/>
          <w:u w:val="single"/>
          <w:lang w:val="sl-SI"/>
        </w:rPr>
      </w:pPr>
    </w:p>
    <w:p w:rsidR="00893619" w:rsidRPr="00505D7C" w:rsidRDefault="00893619" w:rsidP="009039D3">
      <w:pPr>
        <w:numPr>
          <w:ilvl w:val="0"/>
          <w:numId w:val="27"/>
        </w:numPr>
        <w:spacing w:line="240" w:lineRule="auto"/>
        <w:jc w:val="both"/>
        <w:rPr>
          <w:rFonts w:ascii="Arial Narrow" w:hAnsi="Arial Narrow"/>
          <w:sz w:val="18"/>
          <w:szCs w:val="18"/>
          <w:lang w:val="sl-SI" w:eastAsia="en-GB"/>
        </w:rPr>
      </w:pPr>
      <w:r w:rsidRPr="00505D7C">
        <w:rPr>
          <w:rFonts w:ascii="Arial Narrow" w:hAnsi="Arial Narrow"/>
          <w:sz w:val="18"/>
          <w:szCs w:val="18"/>
          <w:lang w:val="sl-SI"/>
        </w:rPr>
        <w:t>Izračun zneska dotacije: znesek dotacije se izračuna tako, da število dni na udeleženca pomnožimo s prispevkom na enoto, ki velja na dan za zadevno državo gostiteljico, kot je določen v Prilogi IV k sporazumu. Če je ustrezno, se lahko pri izračunu upošteva še en dan za pot pred aktivnostjo in en dan za pot po aktivnosti.</w:t>
      </w:r>
    </w:p>
    <w:p w:rsidR="00893619" w:rsidRPr="00505D7C" w:rsidRDefault="00893619" w:rsidP="009039D3">
      <w:pPr>
        <w:spacing w:line="240" w:lineRule="auto"/>
        <w:ind w:left="720"/>
        <w:jc w:val="both"/>
        <w:rPr>
          <w:rFonts w:ascii="Arial Narrow" w:hAnsi="Arial Narrow"/>
          <w:sz w:val="18"/>
          <w:szCs w:val="18"/>
          <w:lang w:val="sl-SI"/>
        </w:rPr>
      </w:pPr>
      <w:r w:rsidRPr="00505D7C">
        <w:rPr>
          <w:rFonts w:ascii="Arial Narrow" w:hAnsi="Arial Narrow"/>
          <w:sz w:val="18"/>
          <w:szCs w:val="18"/>
          <w:lang w:val="sl-SI"/>
        </w:rPr>
        <w:lastRenderedPageBreak/>
        <w:t>Koordinator bo v orodju Mobility Tool+ poročal o datumih začetka in konca srečanja za vsakega udeleženca. Če je to potrebno zaradi časa, ki je potreben za pot, lahko upravičenec doda en dan za pot neposredno pred prvim dnem srečanja in en dan za pot po zadnjem dnevu srečanja; ti dodatni dnevi za pot se upoštevajo pri izračunu organizacijske podpore.</w:t>
      </w:r>
    </w:p>
    <w:p w:rsidR="00893619" w:rsidRPr="00505D7C" w:rsidRDefault="00893619" w:rsidP="009039D3">
      <w:pPr>
        <w:numPr>
          <w:ilvl w:val="0"/>
          <w:numId w:val="27"/>
        </w:numPr>
        <w:spacing w:line="240" w:lineRule="auto"/>
        <w:jc w:val="both"/>
        <w:rPr>
          <w:rFonts w:ascii="Arial Narrow" w:hAnsi="Arial Narrow"/>
          <w:sz w:val="18"/>
          <w:szCs w:val="18"/>
          <w:lang w:val="sl-SI"/>
        </w:rPr>
      </w:pPr>
      <w:r w:rsidRPr="00505D7C">
        <w:rPr>
          <w:rFonts w:ascii="Arial Narrow" w:hAnsi="Arial Narrow"/>
          <w:sz w:val="18"/>
          <w:szCs w:val="18"/>
          <w:lang w:val="sl-SI"/>
        </w:rPr>
        <w:t>Sprožilni dogodek: dogodek, s katerim je pogojena upravičenost do dotacije, je, da se je udeleženec v določenem obdobju dejansko udeležil srečanja za strukturirani dialog.</w:t>
      </w:r>
    </w:p>
    <w:p w:rsidR="00893619" w:rsidRPr="00505D7C" w:rsidRDefault="00893619" w:rsidP="009039D3">
      <w:pPr>
        <w:numPr>
          <w:ilvl w:val="0"/>
          <w:numId w:val="27"/>
        </w:numPr>
        <w:spacing w:line="240" w:lineRule="auto"/>
        <w:jc w:val="both"/>
        <w:rPr>
          <w:rFonts w:ascii="Arial Narrow" w:hAnsi="Arial Narrow"/>
          <w:sz w:val="18"/>
          <w:szCs w:val="18"/>
          <w:lang w:val="sl-SI"/>
        </w:rPr>
      </w:pPr>
      <w:r w:rsidRPr="00505D7C">
        <w:rPr>
          <w:rFonts w:ascii="Arial Narrow" w:hAnsi="Arial Narrow"/>
          <w:sz w:val="18"/>
          <w:szCs w:val="18"/>
          <w:lang w:val="sl-SI"/>
        </w:rPr>
        <w:t>Dokazila:</w:t>
      </w:r>
    </w:p>
    <w:p w:rsidR="00893619" w:rsidRPr="00505D7C" w:rsidRDefault="00893619" w:rsidP="009039D3">
      <w:pPr>
        <w:numPr>
          <w:ilvl w:val="0"/>
          <w:numId w:val="28"/>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 Dokazila o udeležbi srečanja za strukturirani dialog v obliki izjave, ki jo podpiše udeleženec in ki vsebuje kraj, datum začetka in datum konca ter ime in elektronski naslov upravičenca.</w:t>
      </w:r>
    </w:p>
    <w:p w:rsidR="00893619" w:rsidRPr="00505D7C" w:rsidRDefault="00893619" w:rsidP="009039D3">
      <w:pPr>
        <w:jc w:val="both"/>
        <w:rPr>
          <w:rFonts w:ascii="Arial Narrow" w:hAnsi="Arial Narrow"/>
          <w:b/>
          <w:sz w:val="18"/>
          <w:szCs w:val="18"/>
        </w:rPr>
      </w:pPr>
    </w:p>
    <w:p w:rsidR="00893619" w:rsidRPr="00505D7C" w:rsidRDefault="00893619" w:rsidP="009039D3">
      <w:pPr>
        <w:jc w:val="both"/>
        <w:rPr>
          <w:rFonts w:ascii="Arial Narrow" w:hAnsi="Arial Narrow"/>
          <w:b/>
          <w:sz w:val="18"/>
          <w:szCs w:val="18"/>
          <w:lang w:val="sl-SI"/>
        </w:rPr>
      </w:pPr>
      <w:r w:rsidRPr="00505D7C">
        <w:rPr>
          <w:rFonts w:ascii="Arial Narrow" w:hAnsi="Arial Narrow"/>
          <w:b/>
          <w:sz w:val="18"/>
          <w:szCs w:val="18"/>
          <w:lang w:val="sl-SI"/>
        </w:rPr>
        <w:t>II. PRAVILA, KI SE UPORABLJAJO ZA POSTAVKE PRORAČUNA, KI TEMELJIJO NA POVRAČILU DEJANSKO NASTALIH STROŠKOV</w:t>
      </w:r>
    </w:p>
    <w:p w:rsidR="00893619" w:rsidRPr="00505D7C" w:rsidRDefault="00893619" w:rsidP="009039D3">
      <w:pPr>
        <w:jc w:val="both"/>
        <w:rPr>
          <w:rFonts w:ascii="Arial Narrow" w:hAnsi="Arial Narrow"/>
          <w:b/>
          <w:sz w:val="18"/>
          <w:szCs w:val="18"/>
          <w:lang w:val="sl-SI"/>
        </w:rPr>
      </w:pPr>
      <w:r w:rsidRPr="00505D7C">
        <w:rPr>
          <w:rFonts w:ascii="Arial Narrow" w:hAnsi="Arial Narrow"/>
          <w:b/>
          <w:sz w:val="18"/>
          <w:szCs w:val="18"/>
          <w:lang w:val="sl-SI"/>
        </w:rPr>
        <w:t>II.1. Pogoji za povračilo dejanskih stroškov</w:t>
      </w:r>
    </w:p>
    <w:p w:rsidR="00893619" w:rsidRPr="00505D7C" w:rsidRDefault="00893619" w:rsidP="009039D3">
      <w:p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Kadar se dotacija dodeli v obliki povračila dejanskih stroškov, zanje veljajo naslednji pogoji:</w:t>
      </w:r>
    </w:p>
    <w:p w:rsidR="00893619" w:rsidRPr="00505D7C" w:rsidRDefault="00893619" w:rsidP="009039D3">
      <w:pPr>
        <w:spacing w:after="0" w:line="240" w:lineRule="auto"/>
        <w:jc w:val="both"/>
        <w:rPr>
          <w:rFonts w:ascii="Arial Narrow"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nastanejo upravičencu;</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nastanejo v obdobju, določenem v členu I.2.2;</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so označeni v oceni proračuna, kot je določena v Prilogi II ali upravičenih kasnejših prenosih med postavkami proračuna v skladu s členom I.3.2;</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nastanejo v zvezi s projektom, kot je opisano v Prilogi I, in so potrebni za njegovo izvedbo;</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so določljivi in preverljivi ter zlasti zabeleženi v računovodskih izkazih upravičenca in pripravljeni v skladu z računovodskimi standardi, ki se uporabljajo v državi, kjer ima upravičenec svoj sedež, in v skladu z običajno prakso stroškovnega računovodstva upravičenca,</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ustrezajo zahtevam veljavne davčne in socialne zakonodaje;</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so smotrni, utemeljeni in v skladu z zahtevami dobrega finančnega poslovodenja, zlasti glede gospodarnosti in učinkovitosti;</w:t>
      </w:r>
    </w:p>
    <w:p w:rsidR="00893619" w:rsidRPr="00505D7C" w:rsidRDefault="00893619" w:rsidP="009039D3">
      <w:pPr>
        <w:spacing w:after="0" w:line="240" w:lineRule="auto"/>
        <w:ind w:left="720"/>
        <w:jc w:val="both"/>
        <w:rPr>
          <w:rFonts w:ascii="Arial Narrow" w:eastAsia="Times New Roman" w:hAnsi="Arial Narrow"/>
          <w:sz w:val="18"/>
          <w:szCs w:val="18"/>
          <w:lang w:val="sl-SI"/>
        </w:rPr>
      </w:pPr>
    </w:p>
    <w:p w:rsidR="00893619" w:rsidRPr="00505D7C" w:rsidRDefault="00893619" w:rsidP="009039D3">
      <w:pPr>
        <w:numPr>
          <w:ilvl w:val="0"/>
          <w:numId w:val="9"/>
        </w:numPr>
        <w:spacing w:after="0" w:line="240" w:lineRule="auto"/>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niso vključeni v prisp</w:t>
      </w:r>
      <w:r w:rsidR="00B508CE" w:rsidRPr="00505D7C">
        <w:rPr>
          <w:rFonts w:ascii="Arial Narrow" w:eastAsia="Times New Roman" w:hAnsi="Arial Narrow"/>
          <w:sz w:val="18"/>
          <w:szCs w:val="18"/>
          <w:lang w:val="sl-SI"/>
        </w:rPr>
        <w:t>evek na enoto.</w:t>
      </w:r>
    </w:p>
    <w:p w:rsidR="00893619" w:rsidRPr="00505D7C" w:rsidRDefault="00893619" w:rsidP="009039D3">
      <w:pPr>
        <w:pStyle w:val="ListParagraph"/>
        <w:rPr>
          <w:rFonts w:ascii="Arial Narrow" w:eastAsia="Times New Roman" w:hAnsi="Arial Narrow"/>
          <w:sz w:val="18"/>
          <w:szCs w:val="18"/>
          <w:lang w:val="sl-SI"/>
        </w:rPr>
      </w:pPr>
    </w:p>
    <w:p w:rsidR="00893619" w:rsidRPr="00505D7C" w:rsidRDefault="00893619" w:rsidP="009039D3">
      <w:pPr>
        <w:spacing w:after="0" w:line="240" w:lineRule="auto"/>
        <w:ind w:left="720"/>
        <w:jc w:val="both"/>
        <w:rPr>
          <w:rFonts w:ascii="Arial Narrow" w:eastAsia="Times New Roman" w:hAnsi="Arial Narrow"/>
          <w:sz w:val="18"/>
          <w:szCs w:val="18"/>
          <w:lang w:val="sl-SI"/>
        </w:rPr>
      </w:pPr>
      <w:r w:rsidRPr="00505D7C">
        <w:rPr>
          <w:rFonts w:ascii="Arial Narrow" w:eastAsia="Times New Roman" w:hAnsi="Arial Narrow"/>
          <w:sz w:val="18"/>
          <w:szCs w:val="18"/>
          <w:lang w:val="sl-SI"/>
        </w:rPr>
        <w:t xml:space="preserve"> </w:t>
      </w:r>
    </w:p>
    <w:p w:rsidR="00893619" w:rsidRPr="00505D7C" w:rsidRDefault="00893619" w:rsidP="009039D3">
      <w:pPr>
        <w:jc w:val="both"/>
        <w:rPr>
          <w:rFonts w:ascii="Arial Narrow" w:hAnsi="Arial Narrow"/>
          <w:b/>
          <w:sz w:val="18"/>
          <w:szCs w:val="18"/>
          <w:lang w:val="sl-SI"/>
        </w:rPr>
      </w:pPr>
      <w:r w:rsidRPr="00505D7C">
        <w:rPr>
          <w:rFonts w:ascii="Arial Narrow" w:hAnsi="Arial Narrow"/>
          <w:b/>
          <w:sz w:val="18"/>
          <w:szCs w:val="18"/>
          <w:lang w:val="sl-SI"/>
        </w:rPr>
        <w:t>II.2. Izračun dejanskih stroškov</w:t>
      </w:r>
    </w:p>
    <w:p w:rsidR="00893619" w:rsidRPr="00505D7C" w:rsidRDefault="00893619" w:rsidP="009039D3">
      <w:pPr>
        <w:numPr>
          <w:ilvl w:val="0"/>
          <w:numId w:val="29"/>
        </w:numPr>
        <w:suppressAutoHyphens/>
        <w:spacing w:after="0" w:line="240" w:lineRule="auto"/>
        <w:jc w:val="both"/>
        <w:rPr>
          <w:rFonts w:ascii="Arial Narrow" w:hAnsi="Arial Narrow"/>
          <w:sz w:val="18"/>
          <w:szCs w:val="18"/>
          <w:u w:val="single"/>
          <w:lang w:val="sl-SI"/>
        </w:rPr>
      </w:pPr>
      <w:r w:rsidRPr="00505D7C">
        <w:rPr>
          <w:rFonts w:ascii="Arial Narrow" w:hAnsi="Arial Narrow"/>
          <w:sz w:val="18"/>
          <w:szCs w:val="18"/>
          <w:u w:val="single"/>
          <w:lang w:val="sl-SI"/>
        </w:rPr>
        <w:t>Podpora za posebne potrebe</w:t>
      </w:r>
    </w:p>
    <w:p w:rsidR="00893619" w:rsidRPr="00505D7C" w:rsidRDefault="00893619" w:rsidP="009039D3">
      <w:pPr>
        <w:spacing w:after="0" w:line="240" w:lineRule="auto"/>
        <w:jc w:val="both"/>
        <w:rPr>
          <w:rFonts w:ascii="Arial Narrow" w:hAnsi="Arial Narrow"/>
          <w:sz w:val="18"/>
          <w:szCs w:val="18"/>
          <w:lang w:val="sl-SI"/>
        </w:rPr>
      </w:pPr>
    </w:p>
    <w:p w:rsidR="00893619" w:rsidRPr="00505D7C" w:rsidRDefault="00893619" w:rsidP="009039D3">
      <w:pPr>
        <w:numPr>
          <w:ilvl w:val="0"/>
          <w:numId w:val="30"/>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Izračun zneska dotacije: dotacija se dodeli v obliki povračila 100 % dejansko nastalih upravičenih stroškov. </w:t>
      </w:r>
    </w:p>
    <w:p w:rsidR="00893619" w:rsidRPr="00505D7C" w:rsidRDefault="00893619" w:rsidP="009039D3">
      <w:pPr>
        <w:numPr>
          <w:ilvl w:val="0"/>
          <w:numId w:val="30"/>
        </w:numPr>
        <w:spacing w:line="240" w:lineRule="auto"/>
        <w:jc w:val="both"/>
        <w:rPr>
          <w:rFonts w:ascii="Arial Narrow" w:hAnsi="Arial Narrow"/>
          <w:sz w:val="18"/>
          <w:szCs w:val="18"/>
          <w:lang w:val="sl-SI"/>
        </w:rPr>
      </w:pPr>
      <w:r w:rsidRPr="00505D7C">
        <w:rPr>
          <w:rFonts w:ascii="Arial Narrow" w:hAnsi="Arial Narrow"/>
          <w:sz w:val="18"/>
          <w:szCs w:val="18"/>
          <w:lang w:val="sl-SI"/>
        </w:rPr>
        <w:t>Upravičeni stroški: stroški, ki so neposredno povezani z invalidnimi udeleženci in spremljevalci (vključno s stroški poti in bivanja, če je utemeljeno in dokler se dotacija za te udeležence ne zahteva v okviru proračunskih postavk »pot« in »organizacijska podpora«) in so dodatni poleg stroškov</w:t>
      </w:r>
      <w:r w:rsidR="00B508CE" w:rsidRPr="00505D7C">
        <w:rPr>
          <w:rFonts w:ascii="Arial Narrow" w:hAnsi="Arial Narrow"/>
          <w:sz w:val="18"/>
          <w:szCs w:val="18"/>
          <w:lang w:val="sl-SI"/>
        </w:rPr>
        <w:t>, kritih s prispevkom na enoto.</w:t>
      </w:r>
      <w:r w:rsidRPr="00505D7C">
        <w:rPr>
          <w:rFonts w:ascii="Arial Narrow" w:hAnsi="Arial Narrow"/>
          <w:sz w:val="18"/>
          <w:szCs w:val="18"/>
          <w:lang w:val="sl-SI"/>
        </w:rPr>
        <w:t xml:space="preserve"> </w:t>
      </w:r>
    </w:p>
    <w:p w:rsidR="00893619" w:rsidRPr="00505D7C" w:rsidRDefault="00893619" w:rsidP="00505D7C">
      <w:pPr>
        <w:numPr>
          <w:ilvl w:val="0"/>
          <w:numId w:val="30"/>
        </w:numPr>
        <w:spacing w:line="240" w:lineRule="auto"/>
        <w:jc w:val="both"/>
        <w:rPr>
          <w:rFonts w:ascii="Arial Narrow" w:hAnsi="Arial Narrow"/>
          <w:sz w:val="18"/>
          <w:szCs w:val="18"/>
          <w:lang w:val="sl-SI"/>
        </w:rPr>
      </w:pPr>
      <w:r w:rsidRPr="00505D7C">
        <w:rPr>
          <w:rFonts w:ascii="Arial Narrow" w:hAnsi="Arial Narrow"/>
          <w:sz w:val="18"/>
          <w:szCs w:val="18"/>
          <w:lang w:val="sl-SI"/>
        </w:rPr>
        <w:t>Dokazila: dokazila o plačilu dejansko nastalih stroškov na podlagi računov, ki vsebujejo ime in naslov subjekta, ki je izdal račun, znesek in valuto ter datum računa.</w:t>
      </w:r>
    </w:p>
    <w:p w:rsidR="00893619" w:rsidRPr="00505D7C" w:rsidRDefault="00893619" w:rsidP="009039D3">
      <w:pPr>
        <w:numPr>
          <w:ilvl w:val="0"/>
          <w:numId w:val="29"/>
        </w:numPr>
        <w:suppressAutoHyphens/>
        <w:spacing w:after="0" w:line="240" w:lineRule="auto"/>
        <w:jc w:val="both"/>
        <w:rPr>
          <w:rFonts w:ascii="Arial Narrow" w:hAnsi="Arial Narrow"/>
          <w:sz w:val="18"/>
          <w:szCs w:val="18"/>
          <w:u w:val="single"/>
          <w:lang w:val="sl-SI"/>
        </w:rPr>
      </w:pPr>
      <w:r w:rsidRPr="00505D7C">
        <w:rPr>
          <w:rFonts w:ascii="Arial Narrow" w:hAnsi="Arial Narrow"/>
          <w:sz w:val="18"/>
          <w:szCs w:val="18"/>
          <w:u w:val="single"/>
          <w:lang w:val="sl-SI"/>
        </w:rPr>
        <w:t>Izredni stroški</w:t>
      </w:r>
    </w:p>
    <w:p w:rsidR="00893619" w:rsidRPr="00505D7C" w:rsidRDefault="00893619" w:rsidP="009039D3">
      <w:pPr>
        <w:spacing w:after="0" w:line="240" w:lineRule="auto"/>
        <w:jc w:val="both"/>
        <w:rPr>
          <w:rFonts w:ascii="Arial Narrow" w:hAnsi="Arial Narrow"/>
          <w:sz w:val="18"/>
          <w:szCs w:val="18"/>
          <w:u w:val="single"/>
          <w:lang w:val="sl-SI"/>
        </w:rPr>
      </w:pPr>
    </w:p>
    <w:p w:rsidR="00893619" w:rsidRPr="00505D7C" w:rsidRDefault="00893619" w:rsidP="009039D3">
      <w:pPr>
        <w:numPr>
          <w:ilvl w:val="0"/>
          <w:numId w:val="34"/>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Izračun zneska dotacije: dotacija se dodeli v obliki povračila v višini 75 % (za stroške povezan s (Spletnim) svetovanjem in anketami mladih, za finančno garancijo in aktivnosti razširjanja), 80 % za upravičene potne stroške udeležencev iz najbolj oddaljenih regij in čezmorskih držav in območij ter 100 % dejansko nastalih upravičenih stroškov (za dodatne stroške neposredno povezane z udeleženci z omejenimi možnostmi in stroške viz, dovoljenj za bivanje in cepljenja udeležencev v aktivnostih mobilnosti v tujini).. </w:t>
      </w:r>
    </w:p>
    <w:p w:rsidR="00893619" w:rsidRPr="00505D7C" w:rsidRDefault="00893619" w:rsidP="009039D3">
      <w:pPr>
        <w:numPr>
          <w:ilvl w:val="0"/>
          <w:numId w:val="34"/>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Upravičeni stroški: </w:t>
      </w:r>
    </w:p>
    <w:p w:rsidR="008B31E8" w:rsidRPr="008B31E8" w:rsidRDefault="008B31E8" w:rsidP="008B31E8">
      <w:pPr>
        <w:pStyle w:val="Alineja1"/>
        <w:numPr>
          <w:ilvl w:val="0"/>
          <w:numId w:val="38"/>
        </w:numPr>
        <w:ind w:left="1068"/>
        <w:rPr>
          <w:rFonts w:ascii="Arial Narrow" w:hAnsi="Arial Narrow"/>
          <w:sz w:val="18"/>
          <w:szCs w:val="18"/>
        </w:rPr>
      </w:pPr>
      <w:r w:rsidRPr="008B31E8">
        <w:rPr>
          <w:rFonts w:ascii="Arial Narrow" w:hAnsi="Arial Narrow"/>
          <w:sz w:val="18"/>
          <w:szCs w:val="18"/>
        </w:rPr>
        <w:t xml:space="preserve">Stroški v zvezi z garancijo za predplačila, ki jo predloži upravičenec, kadar takšno garancijo zahteva NA, kot je določeno v členu I.4.2 sporazuma; </w:t>
      </w:r>
    </w:p>
    <w:p w:rsidR="008B31E8" w:rsidRPr="008B31E8" w:rsidRDefault="008B31E8" w:rsidP="008B31E8">
      <w:pPr>
        <w:pStyle w:val="Alineja1"/>
        <w:numPr>
          <w:ilvl w:val="0"/>
          <w:numId w:val="38"/>
        </w:numPr>
        <w:ind w:left="1068"/>
        <w:rPr>
          <w:rFonts w:ascii="Arial Narrow" w:hAnsi="Arial Narrow"/>
          <w:sz w:val="18"/>
          <w:szCs w:val="18"/>
        </w:rPr>
      </w:pPr>
      <w:r w:rsidRPr="008B31E8">
        <w:rPr>
          <w:rFonts w:ascii="Arial Narrow" w:hAnsi="Arial Narrow"/>
          <w:sz w:val="18"/>
          <w:szCs w:val="18"/>
        </w:rPr>
        <w:t>Stroški (spletnega) svetovanja in anket med mladimi, če je to potrebno za projekt;</w:t>
      </w:r>
    </w:p>
    <w:p w:rsidR="008B31E8" w:rsidRPr="008B31E8" w:rsidRDefault="008B31E8" w:rsidP="008B31E8">
      <w:pPr>
        <w:pStyle w:val="Alineja1"/>
        <w:numPr>
          <w:ilvl w:val="0"/>
          <w:numId w:val="38"/>
        </w:numPr>
        <w:ind w:left="1068"/>
        <w:rPr>
          <w:rFonts w:ascii="Arial Narrow" w:hAnsi="Arial Narrow"/>
          <w:sz w:val="18"/>
          <w:szCs w:val="18"/>
        </w:rPr>
      </w:pPr>
      <w:r w:rsidRPr="008B31E8">
        <w:rPr>
          <w:rFonts w:ascii="Arial Narrow" w:hAnsi="Arial Narrow"/>
          <w:snapToGrid w:val="0"/>
          <w:sz w:val="18"/>
          <w:szCs w:val="18"/>
        </w:rPr>
        <w:t>Stroški v zvezi z razširjanjem in izkoriščanjem rezultatov;</w:t>
      </w:r>
    </w:p>
    <w:p w:rsidR="008B31E8" w:rsidRPr="008B31E8" w:rsidRDefault="008B31E8" w:rsidP="008B31E8">
      <w:pPr>
        <w:pStyle w:val="Alineja1"/>
        <w:numPr>
          <w:ilvl w:val="0"/>
          <w:numId w:val="38"/>
        </w:numPr>
        <w:ind w:left="1068"/>
        <w:rPr>
          <w:rFonts w:ascii="Arial Narrow" w:hAnsi="Arial Narrow"/>
          <w:sz w:val="18"/>
          <w:szCs w:val="18"/>
        </w:rPr>
      </w:pPr>
      <w:r w:rsidRPr="008B31E8">
        <w:rPr>
          <w:rFonts w:ascii="Arial Narrow" w:hAnsi="Arial Narrow"/>
          <w:sz w:val="18"/>
          <w:szCs w:val="18"/>
        </w:rPr>
        <w:t>Potni stroški udeležencev, ki potujejo v/iz najbolj oddaljenih regij in čezmorskih držav in ozemelj, za katere običajna pravila financiranja ne krijejo vsaj 70 % upravičenih stroškov;</w:t>
      </w:r>
    </w:p>
    <w:p w:rsidR="008B31E8" w:rsidRPr="008B31E8" w:rsidRDefault="008B31E8" w:rsidP="008B31E8">
      <w:pPr>
        <w:pStyle w:val="Alineja1"/>
        <w:numPr>
          <w:ilvl w:val="0"/>
          <w:numId w:val="38"/>
        </w:numPr>
        <w:ind w:left="1068"/>
        <w:rPr>
          <w:rFonts w:ascii="Arial Narrow" w:hAnsi="Arial Narrow"/>
          <w:sz w:val="18"/>
          <w:szCs w:val="18"/>
        </w:rPr>
      </w:pPr>
      <w:r w:rsidRPr="008B31E8">
        <w:rPr>
          <w:rFonts w:ascii="Arial Narrow" w:hAnsi="Arial Narrow"/>
          <w:sz w:val="18"/>
          <w:szCs w:val="18"/>
        </w:rPr>
        <w:lastRenderedPageBreak/>
        <w:t>Stroški za podporo udeležbe mladih z omejenimi možnostmi (brez stroškov za pot in organizacijske podpore udeležencev in spremljevalnih oseb);</w:t>
      </w:r>
    </w:p>
    <w:p w:rsidR="008B31E8" w:rsidRPr="00BF6866" w:rsidRDefault="008B31E8" w:rsidP="008B31E8">
      <w:pPr>
        <w:pStyle w:val="Alineja1"/>
        <w:numPr>
          <w:ilvl w:val="0"/>
          <w:numId w:val="38"/>
        </w:numPr>
        <w:ind w:left="1068"/>
      </w:pPr>
      <w:r w:rsidRPr="008B31E8">
        <w:rPr>
          <w:rFonts w:ascii="Arial Narrow" w:hAnsi="Arial Narrow"/>
          <w:sz w:val="18"/>
          <w:szCs w:val="18"/>
        </w:rPr>
        <w:t>Stroški viz, dovoljenj za bivanje in cepljenje upravičencev v aktivnostih mobilnosti v tujini.</w:t>
      </w:r>
    </w:p>
    <w:p w:rsidR="00893619" w:rsidRPr="00505D7C" w:rsidRDefault="00893619" w:rsidP="009039D3">
      <w:pPr>
        <w:pStyle w:val="ListParagraph"/>
        <w:suppressAutoHyphens/>
        <w:spacing w:before="40" w:after="40" w:line="276" w:lineRule="auto"/>
        <w:rPr>
          <w:rFonts w:ascii="Arial Narrow" w:hAnsi="Arial Narrow"/>
          <w:snapToGrid w:val="0"/>
          <w:sz w:val="18"/>
          <w:szCs w:val="18"/>
          <w:lang w:val="sl-SI"/>
        </w:rPr>
      </w:pPr>
    </w:p>
    <w:p w:rsidR="00893619" w:rsidRPr="00505D7C" w:rsidRDefault="00893619" w:rsidP="009039D3">
      <w:pPr>
        <w:numPr>
          <w:ilvl w:val="0"/>
          <w:numId w:val="34"/>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Dokazila: </w:t>
      </w:r>
    </w:p>
    <w:p w:rsidR="00893619" w:rsidRPr="00505D7C" w:rsidRDefault="00893619" w:rsidP="009039D3">
      <w:pPr>
        <w:pStyle w:val="ListParagraph"/>
        <w:numPr>
          <w:ilvl w:val="0"/>
          <w:numId w:val="31"/>
        </w:numPr>
        <w:spacing w:after="240"/>
        <w:jc w:val="both"/>
        <w:rPr>
          <w:rFonts w:ascii="Arial Narrow" w:hAnsi="Arial Narrow"/>
          <w:sz w:val="18"/>
          <w:szCs w:val="18"/>
          <w:lang w:val="sl-SI"/>
        </w:rPr>
      </w:pPr>
      <w:r w:rsidRPr="00505D7C">
        <w:rPr>
          <w:rFonts w:ascii="Arial Narrow" w:hAnsi="Arial Narrow"/>
          <w:sz w:val="18"/>
          <w:szCs w:val="18"/>
          <w:lang w:val="sl-SI"/>
        </w:rPr>
        <w:t>Za stroške viz, dovoljenj za bivanje, cepljenje: dokazilo o plačilu na podlagi računa, ki vsebuje ime in naslov subjekta, ki je izdal račun, znesek in valuto ter datum računa;</w:t>
      </w:r>
    </w:p>
    <w:p w:rsidR="00893619" w:rsidRPr="00505D7C" w:rsidRDefault="00893619" w:rsidP="009039D3">
      <w:pPr>
        <w:pStyle w:val="ListParagraph"/>
        <w:numPr>
          <w:ilvl w:val="0"/>
          <w:numId w:val="32"/>
        </w:numPr>
        <w:jc w:val="both"/>
        <w:rPr>
          <w:rFonts w:ascii="Arial Narrow" w:hAnsi="Arial Narrow"/>
          <w:sz w:val="18"/>
          <w:szCs w:val="18"/>
          <w:lang w:val="sl-SI"/>
        </w:rPr>
      </w:pPr>
      <w:r w:rsidRPr="00505D7C">
        <w:rPr>
          <w:rFonts w:ascii="Arial Narrow" w:hAnsi="Arial Narrow"/>
          <w:sz w:val="18"/>
          <w:szCs w:val="18"/>
          <w:lang w:val="sl-SI"/>
        </w:rPr>
        <w:t>Za stroške (spletnega) svetovanja in anket med mladimi: dokazilo o plačilu nastalih stroškov na podlagi računa, ki vsebuje ime in naslov subjekta, ki je izdal račun, znesek in valuto ter datum računa.</w:t>
      </w:r>
    </w:p>
    <w:p w:rsidR="00893619" w:rsidRPr="00505D7C" w:rsidRDefault="00893619" w:rsidP="009039D3">
      <w:pPr>
        <w:pStyle w:val="ListParagraph"/>
        <w:numPr>
          <w:ilvl w:val="0"/>
          <w:numId w:val="32"/>
        </w:numPr>
        <w:jc w:val="both"/>
        <w:rPr>
          <w:rFonts w:ascii="Arial Narrow" w:hAnsi="Arial Narrow"/>
          <w:sz w:val="18"/>
          <w:szCs w:val="18"/>
          <w:lang w:val="sl-SI"/>
        </w:rPr>
      </w:pPr>
      <w:r w:rsidRPr="00505D7C">
        <w:rPr>
          <w:rFonts w:ascii="Arial Narrow" w:hAnsi="Arial Narrow"/>
          <w:sz w:val="18"/>
          <w:szCs w:val="18"/>
          <w:lang w:val="sl-SI"/>
        </w:rPr>
        <w:t>Za potne stroške udeležencev iz najbolj oddaljenih regij in čezmorskih ozemelj; dokazilo o plačilu povezanih stroškov na podlagi računov, ki vsebujejo ime in naslov subjekta, ki je izdal račun, znesek in valuto ter datum računa;</w:t>
      </w:r>
    </w:p>
    <w:p w:rsidR="00893619" w:rsidRPr="00505D7C" w:rsidRDefault="00893619" w:rsidP="009039D3">
      <w:pPr>
        <w:numPr>
          <w:ilvl w:val="0"/>
          <w:numId w:val="32"/>
        </w:numPr>
        <w:spacing w:line="240" w:lineRule="auto"/>
        <w:jc w:val="both"/>
        <w:rPr>
          <w:rFonts w:ascii="Arial Narrow" w:hAnsi="Arial Narrow"/>
          <w:sz w:val="18"/>
          <w:szCs w:val="18"/>
          <w:lang w:val="sl-SI"/>
        </w:rPr>
      </w:pPr>
      <w:r w:rsidRPr="00505D7C">
        <w:rPr>
          <w:rFonts w:ascii="Arial Narrow" w:hAnsi="Arial Narrow"/>
          <w:sz w:val="18"/>
          <w:szCs w:val="18"/>
          <w:lang w:val="sl-SI"/>
        </w:rPr>
        <w:t>Za stroške v zvezi z razširjanjem in izkoriščanjem rezultatov: dokazilo o plačilu nastalih stroškov na podlagi računa, ki vsebuje ime in naslov subjekta, ki je izdal račun, znesek in valuto ter datum računa;</w:t>
      </w:r>
    </w:p>
    <w:p w:rsidR="00893619" w:rsidRPr="00505D7C" w:rsidRDefault="00893619" w:rsidP="009039D3">
      <w:pPr>
        <w:numPr>
          <w:ilvl w:val="0"/>
          <w:numId w:val="32"/>
        </w:numPr>
        <w:spacing w:line="240" w:lineRule="auto"/>
        <w:jc w:val="both"/>
        <w:rPr>
          <w:rFonts w:ascii="Arial Narrow" w:hAnsi="Arial Narrow"/>
          <w:sz w:val="18"/>
          <w:szCs w:val="18"/>
          <w:lang w:val="sl-SI"/>
        </w:rPr>
      </w:pPr>
      <w:r w:rsidRPr="00505D7C">
        <w:rPr>
          <w:rFonts w:ascii="Arial Narrow" w:hAnsi="Arial Narrow"/>
          <w:sz w:val="18"/>
          <w:szCs w:val="18"/>
          <w:lang w:val="sl-SI"/>
        </w:rPr>
        <w:t>Za dodatne stroške, neposredno povezane z udeleženci z omejenimi možnostmi: dokazilo o plačilu nastalih stroškov na podlagi računa, ki vsebuje ime in naslov subjekta, ki je izdal račun, znesek in valuto ter datum računa.</w:t>
      </w:r>
    </w:p>
    <w:p w:rsidR="00893619" w:rsidRPr="00505D7C" w:rsidRDefault="00893619" w:rsidP="009039D3">
      <w:pPr>
        <w:spacing w:after="0" w:line="240" w:lineRule="auto"/>
        <w:jc w:val="both"/>
        <w:rPr>
          <w:rFonts w:ascii="Arial Narrow" w:eastAsia="Times New Roman" w:hAnsi="Arial Narrow"/>
          <w:sz w:val="18"/>
          <w:szCs w:val="18"/>
          <w:lang w:val="sl-SI"/>
        </w:rPr>
      </w:pPr>
    </w:p>
    <w:p w:rsidR="00893619" w:rsidRPr="00505D7C" w:rsidRDefault="00893619" w:rsidP="009039D3">
      <w:pPr>
        <w:autoSpaceDE w:val="0"/>
        <w:autoSpaceDN w:val="0"/>
        <w:adjustRightInd w:val="0"/>
        <w:spacing w:after="0" w:line="240" w:lineRule="auto"/>
        <w:rPr>
          <w:rFonts w:ascii="Arial Narrow" w:hAnsi="Arial Narrow"/>
          <w:sz w:val="18"/>
          <w:szCs w:val="18"/>
        </w:rPr>
      </w:pPr>
    </w:p>
    <w:p w:rsidR="00893619" w:rsidRPr="00505D7C" w:rsidRDefault="00893619" w:rsidP="009039D3">
      <w:pPr>
        <w:jc w:val="both"/>
        <w:rPr>
          <w:rFonts w:ascii="Arial Narrow" w:hAnsi="Arial Narrow"/>
          <w:b/>
          <w:sz w:val="18"/>
          <w:szCs w:val="18"/>
          <w:lang w:val="sl-SI"/>
        </w:rPr>
      </w:pPr>
      <w:r w:rsidRPr="00505D7C">
        <w:rPr>
          <w:rFonts w:ascii="Arial Narrow" w:hAnsi="Arial Narrow"/>
          <w:b/>
          <w:sz w:val="18"/>
          <w:szCs w:val="18"/>
        </w:rPr>
        <w:t>III</w:t>
      </w:r>
      <w:proofErr w:type="gramStart"/>
      <w:r w:rsidRPr="00505D7C">
        <w:rPr>
          <w:rFonts w:ascii="Arial Narrow" w:hAnsi="Arial Narrow"/>
          <w:b/>
          <w:sz w:val="18"/>
          <w:szCs w:val="18"/>
        </w:rPr>
        <w:t xml:space="preserve">.  </w:t>
      </w:r>
      <w:r w:rsidRPr="00505D7C">
        <w:rPr>
          <w:rFonts w:ascii="Arial Narrow" w:hAnsi="Arial Narrow"/>
          <w:b/>
          <w:sz w:val="18"/>
          <w:szCs w:val="18"/>
          <w:lang w:val="sl-SI"/>
        </w:rPr>
        <w:t>POGOJI</w:t>
      </w:r>
      <w:proofErr w:type="gramEnd"/>
      <w:r w:rsidRPr="00505D7C">
        <w:rPr>
          <w:rFonts w:ascii="Arial Narrow" w:hAnsi="Arial Narrow"/>
          <w:b/>
          <w:sz w:val="18"/>
          <w:szCs w:val="18"/>
          <w:lang w:val="sl-SI"/>
        </w:rPr>
        <w:t xml:space="preserve"> ZA UPRAVIČENOST AKTIVNOSTI MOBILNOSTI</w:t>
      </w:r>
    </w:p>
    <w:p w:rsidR="00893619" w:rsidRPr="00505D7C" w:rsidRDefault="00893619" w:rsidP="009039D3">
      <w:pPr>
        <w:numPr>
          <w:ilvl w:val="0"/>
          <w:numId w:val="20"/>
        </w:numPr>
        <w:jc w:val="both"/>
        <w:rPr>
          <w:rFonts w:ascii="Arial Narrow" w:hAnsi="Arial Narrow"/>
          <w:sz w:val="18"/>
          <w:szCs w:val="18"/>
          <w:lang w:val="sl-SI"/>
        </w:rPr>
      </w:pPr>
      <w:r w:rsidRPr="00505D7C">
        <w:rPr>
          <w:rFonts w:ascii="Arial Narrow" w:hAnsi="Arial Narrow"/>
          <w:sz w:val="18"/>
          <w:szCs w:val="18"/>
          <w:lang w:val="sl-SI"/>
        </w:rPr>
        <w:t xml:space="preserve">Upravičenci bodo zagotovili, da so aktivnosti za katere je bila dodeljena dotacija, upravičene v skladu s pravili, določenimi v Vodniku za prijavitelje Eramsus+ za vsak posamezni ključni ukrep na posameznem področju. </w:t>
      </w:r>
    </w:p>
    <w:p w:rsidR="00893619" w:rsidRPr="00505D7C" w:rsidRDefault="00893619" w:rsidP="009039D3">
      <w:pPr>
        <w:numPr>
          <w:ilvl w:val="0"/>
          <w:numId w:val="20"/>
        </w:numPr>
        <w:jc w:val="both"/>
        <w:rPr>
          <w:rFonts w:ascii="Arial Narrow" w:hAnsi="Arial Narrow"/>
          <w:sz w:val="18"/>
          <w:szCs w:val="18"/>
          <w:lang w:val="sl-SI"/>
        </w:rPr>
      </w:pPr>
      <w:r w:rsidRPr="00505D7C">
        <w:rPr>
          <w:rFonts w:ascii="Arial Narrow" w:hAnsi="Arial Narrow"/>
          <w:sz w:val="18"/>
          <w:szCs w:val="18"/>
          <w:lang w:val="sl-SI"/>
        </w:rPr>
        <w:t>Izvajane aktivnosti, ki niso skladne s pravili Vodnika za prijavitelje Erasmus+, kot jih dopolnjujejo pravila v tej prilogi, bo NA razglasil za neupravičene in znesek, ki ustreza zadevnim aktivnostim bo treba povrniti v celoti. Povračilo zajema vse proračunske postavke za katere je bila dodeljena dotacija v zvezi z aktivnostjo, ki je bila razglašena za neupravičeno.</w:t>
      </w:r>
    </w:p>
    <w:p w:rsidR="00893619" w:rsidRPr="00505D7C" w:rsidRDefault="00893619" w:rsidP="00505D7C">
      <w:pPr>
        <w:numPr>
          <w:ilvl w:val="0"/>
          <w:numId w:val="20"/>
        </w:numPr>
        <w:jc w:val="both"/>
        <w:rPr>
          <w:rFonts w:ascii="Arial Narrow" w:hAnsi="Arial Narrow"/>
          <w:sz w:val="18"/>
          <w:szCs w:val="18"/>
          <w:lang w:val="sl-SI"/>
        </w:rPr>
      </w:pPr>
      <w:r w:rsidRPr="00505D7C">
        <w:rPr>
          <w:rFonts w:ascii="Arial Narrow" w:hAnsi="Arial Narrow"/>
          <w:sz w:val="18"/>
          <w:szCs w:val="18"/>
          <w:lang w:val="sl-SI"/>
        </w:rPr>
        <w:t>Najkrajše upravičeno trajanje aktivnosti mobilnosti, določeno v Vodniku za prijavitelje, zajema najkrajše možno trajanje aktivnosti brez časa za pot.</w:t>
      </w:r>
    </w:p>
    <w:p w:rsidR="00893619" w:rsidRPr="00505D7C" w:rsidRDefault="00893619" w:rsidP="009039D3">
      <w:pPr>
        <w:jc w:val="both"/>
        <w:rPr>
          <w:rFonts w:ascii="Arial Narrow" w:hAnsi="Arial Narrow"/>
          <w:b/>
          <w:sz w:val="18"/>
          <w:szCs w:val="18"/>
          <w:lang w:val="sl-SI"/>
        </w:rPr>
      </w:pPr>
      <w:r w:rsidRPr="00505D7C">
        <w:rPr>
          <w:rFonts w:ascii="Arial Narrow" w:hAnsi="Arial Narrow"/>
          <w:b/>
          <w:sz w:val="18"/>
          <w:szCs w:val="18"/>
          <w:lang w:val="sl-SI"/>
        </w:rPr>
        <w:t xml:space="preserve">IV. PRAVILA IN POGOJI ZA ZMANJŠANJE DOTACIJE ZARADI SLABE, DELNE ALI PREPOZNE IZVEDBE  </w:t>
      </w:r>
    </w:p>
    <w:p w:rsidR="00893619" w:rsidRPr="00505D7C" w:rsidRDefault="00893619" w:rsidP="009039D3">
      <w:pPr>
        <w:numPr>
          <w:ilvl w:val="0"/>
          <w:numId w:val="1"/>
        </w:numPr>
        <w:jc w:val="both"/>
        <w:rPr>
          <w:rFonts w:ascii="Arial Narrow" w:hAnsi="Arial Narrow"/>
          <w:sz w:val="18"/>
          <w:szCs w:val="18"/>
          <w:lang w:val="sl-SI"/>
        </w:rPr>
      </w:pPr>
      <w:r w:rsidRPr="00505D7C">
        <w:rPr>
          <w:rFonts w:ascii="Arial Narrow" w:hAnsi="Arial Narrow"/>
          <w:sz w:val="18"/>
          <w:szCs w:val="18"/>
          <w:lang w:val="sl-SI"/>
        </w:rPr>
        <w:t>NA lahko ugotovi slabo, delno ali prepozno izvedbo projekta na podlagi končnega poročila, ki ga je oddal koordinator (vključno s poročili posameznih udeležencev, ki sodelujejo v aktivnostih mobilnosti).</w:t>
      </w:r>
    </w:p>
    <w:p w:rsidR="00893619" w:rsidRPr="00505D7C" w:rsidRDefault="00893619" w:rsidP="009039D3">
      <w:pPr>
        <w:numPr>
          <w:ilvl w:val="0"/>
          <w:numId w:val="1"/>
        </w:numPr>
        <w:jc w:val="both"/>
        <w:rPr>
          <w:rFonts w:ascii="Arial Narrow" w:hAnsi="Arial Narrow"/>
          <w:sz w:val="18"/>
          <w:szCs w:val="18"/>
          <w:lang w:val="sl-SI"/>
        </w:rPr>
      </w:pPr>
      <w:r w:rsidRPr="00505D7C">
        <w:rPr>
          <w:rFonts w:ascii="Arial Narrow" w:hAnsi="Arial Narrow"/>
          <w:sz w:val="18"/>
          <w:szCs w:val="18"/>
          <w:lang w:val="sl-SI"/>
        </w:rPr>
        <w:t>NA lahko upošteva tudi podatke, pridobljene iz drugega ustreznega vira, ki dokazujejo, da projekt ni izveden v skladu s pogodbenimi določili. Med drugimi viri informacij so lahko nadzorni obiski, pregledi dokumentacije ali pregledi na kraju samem, ki jih izvaja NA.</w:t>
      </w:r>
    </w:p>
    <w:p w:rsidR="00893619" w:rsidRPr="00505D7C" w:rsidRDefault="00893619" w:rsidP="009039D3">
      <w:pPr>
        <w:numPr>
          <w:ilvl w:val="0"/>
          <w:numId w:val="1"/>
        </w:numPr>
        <w:jc w:val="both"/>
        <w:rPr>
          <w:rFonts w:ascii="Arial Narrow" w:hAnsi="Arial Narrow"/>
          <w:sz w:val="18"/>
          <w:szCs w:val="18"/>
          <w:lang w:val="sl-SI"/>
        </w:rPr>
      </w:pPr>
      <w:r w:rsidRPr="00505D7C">
        <w:rPr>
          <w:rFonts w:ascii="Arial Narrow" w:hAnsi="Arial Narrow"/>
          <w:sz w:val="18"/>
          <w:szCs w:val="18"/>
          <w:lang w:val="sl-SI"/>
        </w:rPr>
        <w:t>Končno poročilo bo ocenjeno na podlagi meril za kakovost in točkovano z največ 100 točkami. Če se končno poročilo oceni z manj kot 50 točkami, bo NA znižala končni znesek dotacije za organizacijsko podporo zaradi slabe, delne ali prepozne izvedbe ukrepa, tudi če so bile izvedene aktivnosti upravičene in so dejansko potekale.</w:t>
      </w:r>
    </w:p>
    <w:p w:rsidR="00893619" w:rsidRPr="00505D7C" w:rsidRDefault="00893619" w:rsidP="009039D3">
      <w:pPr>
        <w:pStyle w:val="ListParagraph"/>
        <w:numPr>
          <w:ilvl w:val="0"/>
          <w:numId w:val="1"/>
        </w:numPr>
        <w:rPr>
          <w:rFonts w:ascii="Arial Narrow" w:eastAsia="Calibri" w:hAnsi="Arial Narrow" w:cs="Times New Roman"/>
          <w:sz w:val="18"/>
          <w:szCs w:val="18"/>
          <w:lang w:val="sl-SI"/>
        </w:rPr>
      </w:pPr>
      <w:r w:rsidRPr="00505D7C">
        <w:rPr>
          <w:rFonts w:ascii="Arial Narrow" w:eastAsia="Calibri" w:hAnsi="Arial Narrow" w:cs="Times New Roman"/>
          <w:sz w:val="18"/>
          <w:szCs w:val="18"/>
          <w:lang w:val="sl-SI"/>
        </w:rPr>
        <w:t>Končno poročilo se oceni skupaj s poročili udeležencev mobilnosti z uporabo skupnega nabora meril za kakovost, s poudarkom na:</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Obsegu, v katerem je bila aktivnost izvedena v skladu z odobreno vlogo za dotacijo</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Kakovosti učnih rezultatov in vplivu na udeležence</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Učinku na sodelujoče organizacije</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 xml:space="preserve">Kakovosti praktičnih dogovorov za podporo mobilnosti v smislu priprav, spremljanja in podpore udeležencev med njihovo aktivnostjo mobilnosti </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Kakovostnih dogovorih za priznavanje/potrjevanje učnih rezultatov udeležencev</w:t>
      </w:r>
    </w:p>
    <w:p w:rsidR="00893619" w:rsidRPr="00505D7C" w:rsidRDefault="00893619" w:rsidP="009039D3">
      <w:pPr>
        <w:numPr>
          <w:ilvl w:val="0"/>
          <w:numId w:val="1"/>
        </w:numPr>
        <w:jc w:val="both"/>
        <w:rPr>
          <w:rFonts w:ascii="Arial Narrow" w:hAnsi="Arial Narrow"/>
          <w:sz w:val="18"/>
          <w:szCs w:val="18"/>
          <w:lang w:val="sl-SI"/>
        </w:rPr>
      </w:pPr>
      <w:r w:rsidRPr="00505D7C">
        <w:rPr>
          <w:rFonts w:ascii="Arial Narrow" w:hAnsi="Arial Narrow"/>
          <w:sz w:val="18"/>
          <w:szCs w:val="18"/>
          <w:lang w:val="sl-SI"/>
        </w:rPr>
        <w:t>Zmanjšanje dotacije zaradi slabe, delne ali prepozne izvedbe se lahko uporabi pri določanju končnega zneska upravičenih stroškov za organizacijsko podporo in znaša:</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25 %, če je končno poročilo prejelo vsaj 40 točk in manj kot 50 točk;</w:t>
      </w:r>
    </w:p>
    <w:p w:rsidR="00893619" w:rsidRPr="00505D7C" w:rsidRDefault="00893619" w:rsidP="009039D3">
      <w:pPr>
        <w:numPr>
          <w:ilvl w:val="1"/>
          <w:numId w:val="1"/>
        </w:numPr>
        <w:jc w:val="both"/>
        <w:rPr>
          <w:rFonts w:ascii="Arial Narrow" w:hAnsi="Arial Narrow"/>
          <w:sz w:val="18"/>
          <w:szCs w:val="18"/>
          <w:lang w:val="sl-SI"/>
        </w:rPr>
      </w:pPr>
      <w:r w:rsidRPr="00505D7C">
        <w:rPr>
          <w:rFonts w:ascii="Arial Narrow" w:hAnsi="Arial Narrow"/>
          <w:sz w:val="18"/>
          <w:szCs w:val="18"/>
          <w:lang w:val="sl-SI"/>
        </w:rPr>
        <w:t>50 %, če je končno poročilo prejelo vsaj 25 točk in manj kot 40 točk;</w:t>
      </w:r>
    </w:p>
    <w:p w:rsidR="00893619" w:rsidRPr="00505D7C" w:rsidRDefault="00893619" w:rsidP="00505D7C">
      <w:pPr>
        <w:numPr>
          <w:ilvl w:val="1"/>
          <w:numId w:val="1"/>
        </w:numPr>
        <w:jc w:val="both"/>
        <w:rPr>
          <w:rFonts w:ascii="Arial Narrow" w:hAnsi="Arial Narrow"/>
          <w:sz w:val="18"/>
          <w:szCs w:val="18"/>
          <w:lang w:val="sl-SI"/>
        </w:rPr>
      </w:pPr>
      <w:r w:rsidRPr="00505D7C">
        <w:rPr>
          <w:rFonts w:ascii="Arial Narrow" w:hAnsi="Arial Narrow"/>
          <w:sz w:val="18"/>
          <w:szCs w:val="18"/>
          <w:lang w:val="sl-SI"/>
        </w:rPr>
        <w:t>75 %, če je končno poročilo prejelo manj kot 25 točk.</w:t>
      </w:r>
    </w:p>
    <w:p w:rsidR="00893619" w:rsidRPr="00505D7C" w:rsidRDefault="00893619" w:rsidP="009039D3">
      <w:pPr>
        <w:widowControl w:val="0"/>
        <w:overflowPunct w:val="0"/>
        <w:adjustRightInd w:val="0"/>
        <w:spacing w:line="275" w:lineRule="auto"/>
        <w:jc w:val="both"/>
        <w:rPr>
          <w:rFonts w:ascii="Arial Narrow" w:hAnsi="Arial Narrow"/>
          <w:b/>
          <w:sz w:val="18"/>
          <w:szCs w:val="18"/>
          <w:lang w:val="sl-SI"/>
        </w:rPr>
      </w:pPr>
      <w:bookmarkStart w:id="0" w:name="_GoBack"/>
      <w:bookmarkEnd w:id="0"/>
      <w:r w:rsidRPr="00505D7C">
        <w:rPr>
          <w:rFonts w:ascii="Arial Narrow" w:hAnsi="Arial Narrow"/>
          <w:b/>
          <w:sz w:val="18"/>
          <w:szCs w:val="18"/>
          <w:lang w:val="sl-SI"/>
        </w:rPr>
        <w:lastRenderedPageBreak/>
        <w:t xml:space="preserve">V. SPREMEMBE DOTACIJE </w:t>
      </w: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Ni relevantno.</w:t>
      </w:r>
    </w:p>
    <w:p w:rsidR="00505D7C" w:rsidRDefault="00505D7C" w:rsidP="009039D3">
      <w:pPr>
        <w:rPr>
          <w:rFonts w:ascii="Arial Narrow" w:eastAsia="SimSun" w:hAnsi="Arial Narrow"/>
          <w:b/>
          <w:snapToGrid w:val="0"/>
          <w:kern w:val="3"/>
          <w:sz w:val="18"/>
          <w:szCs w:val="18"/>
          <w:lang w:val="sl-SI" w:eastAsia="zh-CN"/>
        </w:rPr>
      </w:pPr>
    </w:p>
    <w:p w:rsidR="00893619" w:rsidRPr="00505D7C" w:rsidRDefault="00893619" w:rsidP="009039D3">
      <w:pPr>
        <w:rPr>
          <w:rStyle w:val="CommentReference"/>
          <w:rFonts w:ascii="Arial Narrow" w:hAnsi="Arial Narrow"/>
          <w:sz w:val="18"/>
          <w:szCs w:val="18"/>
          <w:lang w:val="sl-SI"/>
        </w:rPr>
      </w:pPr>
      <w:r w:rsidRPr="00505D7C">
        <w:rPr>
          <w:rFonts w:ascii="Arial Narrow" w:eastAsia="SimSun" w:hAnsi="Arial Narrow"/>
          <w:b/>
          <w:snapToGrid w:val="0"/>
          <w:kern w:val="3"/>
          <w:sz w:val="18"/>
          <w:szCs w:val="18"/>
          <w:lang w:val="sl-SI" w:eastAsia="zh-CN"/>
        </w:rPr>
        <w:t>VI. PREVERJANJE UPRAVIČENCEV ZA DOTACIJO IN ZAGOTAVLJANJE DOKAZIL</w:t>
      </w: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 xml:space="preserve">V skladu s členom II.20, so lahko nad upravičenci izvajajo pregledi in revizije v zvezi s sporazumom. Namen pregledov in revizij je preverjanje, če upravičenci z dotacijo upravljajo v skladu s pravili sporazuma, zato da se ugotovi končni znesek dotacije, do katerega so upravičenci upravičeni. </w:t>
      </w: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Preverjanje končnega poročila se opravi za vse projekte. Poleg tega je lahko projekt predmet pregledov dokumentacije ali pregledov na kraju samem, če je sporazum za projekt vključen v vzorec NA, ki ga zahteva Evropska komisija ali če je NA vključil sporazum za ciljno preverjanje na podlagi svoje ocene tveganj</w:t>
      </w: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Za preverjanje končnega poročila in preglede na kraju samem bo koordinator NA priskrbel izvirna dokazila (vključno z dokazili drugih upravičencev), razen če NA zaprosi, da se ji dostavijo kopije dokazil. NA bo vrnila izvirnike dokazil upravičencu takoj po njihovi analizi. Če upravičenec ni zakonsko pooblaščen za pošiljanje izvirnikov za končno poročilo ali preglede dokumentacije, lahko zadevni upravičenec namesto tega pošlje kopije dokazil.</w:t>
      </w: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Upravičenci bodo upoštevali, da lahko za kakršno koli vrsto pregleda NA dodatno zahteva tudi dokazila ali dokaze, ki so običajno predvideni za drugo vrsto pregleda.</w:t>
      </w:r>
    </w:p>
    <w:p w:rsidR="00893619" w:rsidRPr="00505D7C" w:rsidRDefault="00893619" w:rsidP="009039D3">
      <w:pPr>
        <w:pStyle w:val="ListParagraph"/>
        <w:numPr>
          <w:ilvl w:val="0"/>
          <w:numId w:val="35"/>
        </w:numPr>
        <w:jc w:val="both"/>
        <w:rPr>
          <w:rFonts w:ascii="Arial Narrow" w:hAnsi="Arial Narrow"/>
          <w:b/>
          <w:snapToGrid w:val="0"/>
          <w:kern w:val="3"/>
          <w:sz w:val="18"/>
          <w:szCs w:val="18"/>
          <w:lang w:val="sl-SI" w:eastAsia="zh-CN"/>
        </w:rPr>
      </w:pPr>
      <w:r w:rsidRPr="00505D7C">
        <w:rPr>
          <w:rFonts w:ascii="Arial Narrow" w:hAnsi="Arial Narrow"/>
          <w:b/>
          <w:snapToGrid w:val="0"/>
          <w:kern w:val="3"/>
          <w:sz w:val="18"/>
          <w:szCs w:val="18"/>
          <w:lang w:val="sl-SI" w:eastAsia="zh-CN"/>
        </w:rPr>
        <w:t>Pregled končnega poročila</w:t>
      </w:r>
    </w:p>
    <w:p w:rsidR="00893619" w:rsidRPr="00505D7C" w:rsidRDefault="00893619" w:rsidP="009039D3">
      <w:pPr>
        <w:pStyle w:val="ListParagraph"/>
        <w:jc w:val="both"/>
        <w:rPr>
          <w:rFonts w:ascii="Arial Narrow" w:hAnsi="Arial Narrow"/>
          <w:b/>
          <w:snapToGrid w:val="0"/>
          <w:kern w:val="3"/>
          <w:sz w:val="18"/>
          <w:szCs w:val="18"/>
          <w:lang w:val="sl-SI" w:eastAsia="zh-CN"/>
        </w:rPr>
      </w:pPr>
    </w:p>
    <w:p w:rsidR="00893619" w:rsidRPr="00505D7C" w:rsidRDefault="00893619" w:rsidP="009039D3">
      <w:pPr>
        <w:ind w:left="360"/>
        <w:jc w:val="both"/>
        <w:rPr>
          <w:rFonts w:ascii="Arial Narrow" w:hAnsi="Arial Narrow"/>
          <w:sz w:val="18"/>
          <w:szCs w:val="18"/>
          <w:lang w:val="sl-SI"/>
        </w:rPr>
      </w:pPr>
      <w:r w:rsidRPr="00505D7C">
        <w:rPr>
          <w:rFonts w:ascii="Arial Narrow" w:hAnsi="Arial Narrow"/>
          <w:sz w:val="18"/>
          <w:szCs w:val="18"/>
          <w:lang w:val="sl-SI"/>
        </w:rPr>
        <w:t>Pregled končnega poročila poteka v zadnji fazi poročanja v prostorih NA, da se določi končni znesek dotacije, do katerega so upravičeni upravičenci.</w:t>
      </w:r>
    </w:p>
    <w:p w:rsidR="00893619" w:rsidRPr="00505D7C" w:rsidRDefault="00893619" w:rsidP="009039D3">
      <w:pPr>
        <w:ind w:left="360"/>
        <w:jc w:val="both"/>
        <w:rPr>
          <w:rFonts w:ascii="Arial Narrow" w:eastAsia="SimSun" w:hAnsi="Arial Narrow"/>
          <w:snapToGrid w:val="0"/>
          <w:kern w:val="3"/>
          <w:sz w:val="18"/>
          <w:szCs w:val="18"/>
          <w:lang w:val="sl-SI" w:eastAsia="zh-CN"/>
        </w:rPr>
      </w:pPr>
      <w:r w:rsidRPr="00505D7C">
        <w:rPr>
          <w:rFonts w:ascii="Arial Narrow" w:hAnsi="Arial Narrow"/>
          <w:sz w:val="18"/>
          <w:szCs w:val="18"/>
          <w:lang w:val="sl-SI"/>
        </w:rPr>
        <w:t>Upravičenci bodo nacionalni agenciji posredovali končno poročilo preko orodja Mobility Tool+, ki bo vključevalo naslednje informacije o porabi dotacije:</w:t>
      </w:r>
    </w:p>
    <w:p w:rsidR="00893619" w:rsidRPr="00505D7C" w:rsidRDefault="00893619" w:rsidP="009039D3">
      <w:pPr>
        <w:pStyle w:val="ListParagraph"/>
        <w:numPr>
          <w:ilvl w:val="0"/>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Porabljeni stroški na enoto za proračunske postavke:</w:t>
      </w:r>
    </w:p>
    <w:p w:rsidR="00893619" w:rsidRPr="00505D7C" w:rsidRDefault="00893619" w:rsidP="009039D3">
      <w:pPr>
        <w:pStyle w:val="ListParagraph"/>
        <w:numPr>
          <w:ilvl w:val="1"/>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pot</w:t>
      </w:r>
    </w:p>
    <w:p w:rsidR="00893619" w:rsidRPr="00505D7C" w:rsidRDefault="00893619" w:rsidP="009039D3">
      <w:pPr>
        <w:pStyle w:val="ListParagraph"/>
        <w:numPr>
          <w:ilvl w:val="1"/>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orgnizacijska podpora</w:t>
      </w:r>
    </w:p>
    <w:p w:rsidR="00893619" w:rsidRPr="00505D7C" w:rsidRDefault="00893619" w:rsidP="009039D3">
      <w:pPr>
        <w:pStyle w:val="ListParagraph"/>
        <w:ind w:left="1440"/>
        <w:jc w:val="both"/>
        <w:rPr>
          <w:rFonts w:ascii="Arial Narrow" w:hAnsi="Arial Narrow"/>
          <w:snapToGrid w:val="0"/>
          <w:kern w:val="3"/>
          <w:sz w:val="18"/>
          <w:szCs w:val="18"/>
          <w:lang w:val="sl-SI" w:eastAsia="zh-CN"/>
        </w:rPr>
      </w:pPr>
    </w:p>
    <w:p w:rsidR="00893619" w:rsidRPr="00505D7C" w:rsidRDefault="00893619" w:rsidP="009039D3">
      <w:pPr>
        <w:pStyle w:val="ListParagraph"/>
        <w:numPr>
          <w:ilvl w:val="0"/>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Dejanski nastali stroški za proračunsko postavko:</w:t>
      </w:r>
    </w:p>
    <w:p w:rsidR="00893619" w:rsidRPr="00505D7C" w:rsidRDefault="00893619" w:rsidP="009039D3">
      <w:pPr>
        <w:pStyle w:val="ListParagraph"/>
        <w:numPr>
          <w:ilvl w:val="1"/>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podpora za posebne potrebe</w:t>
      </w:r>
    </w:p>
    <w:p w:rsidR="00893619" w:rsidRPr="00505D7C" w:rsidRDefault="00893619" w:rsidP="009039D3">
      <w:pPr>
        <w:pStyle w:val="ListParagraph"/>
        <w:jc w:val="both"/>
        <w:rPr>
          <w:rFonts w:ascii="Arial Narrow" w:hAnsi="Arial Narrow"/>
          <w:snapToGrid w:val="0"/>
          <w:kern w:val="3"/>
          <w:sz w:val="18"/>
          <w:szCs w:val="18"/>
          <w:lang w:val="sl-SI" w:eastAsia="zh-CN"/>
        </w:rPr>
      </w:pPr>
    </w:p>
    <w:p w:rsidR="00893619" w:rsidRPr="00505D7C" w:rsidRDefault="00893619" w:rsidP="009039D3">
      <w:pPr>
        <w:pStyle w:val="ListParagraph"/>
        <w:numPr>
          <w:ilvl w:val="0"/>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Dejanski nastali stroški in dokazila, določena v Prilogi II za proračunsko postavko:</w:t>
      </w:r>
    </w:p>
    <w:p w:rsidR="00893619" w:rsidRPr="00505D7C" w:rsidRDefault="00893619" w:rsidP="009039D3">
      <w:pPr>
        <w:pStyle w:val="ListParagraph"/>
        <w:numPr>
          <w:ilvl w:val="1"/>
          <w:numId w:val="22"/>
        </w:numPr>
        <w:jc w:val="both"/>
        <w:rPr>
          <w:rFonts w:ascii="Arial Narrow" w:hAnsi="Arial Narrow"/>
          <w:snapToGrid w:val="0"/>
          <w:kern w:val="3"/>
          <w:sz w:val="18"/>
          <w:szCs w:val="18"/>
          <w:lang w:val="sl-SI" w:eastAsia="zh-CN"/>
        </w:rPr>
      </w:pPr>
      <w:r w:rsidRPr="00505D7C">
        <w:rPr>
          <w:rFonts w:ascii="Arial Narrow" w:hAnsi="Arial Narrow"/>
          <w:snapToGrid w:val="0"/>
          <w:kern w:val="3"/>
          <w:sz w:val="18"/>
          <w:szCs w:val="18"/>
          <w:lang w:val="sl-SI" w:eastAsia="zh-CN"/>
        </w:rPr>
        <w:t>izredni stroški</w:t>
      </w:r>
    </w:p>
    <w:p w:rsidR="00893619" w:rsidRPr="00505D7C" w:rsidRDefault="00893619" w:rsidP="009039D3">
      <w:pPr>
        <w:pStyle w:val="ListParagraph"/>
        <w:ind w:left="1440"/>
        <w:jc w:val="both"/>
        <w:rPr>
          <w:rFonts w:ascii="Arial Narrow" w:hAnsi="Arial Narrow"/>
          <w:snapToGrid w:val="0"/>
          <w:kern w:val="3"/>
          <w:sz w:val="18"/>
          <w:szCs w:val="18"/>
          <w:lang w:val="sl-SI" w:eastAsia="zh-CN"/>
        </w:rPr>
      </w:pPr>
    </w:p>
    <w:p w:rsidR="00893619" w:rsidRPr="00505D7C" w:rsidRDefault="00893619" w:rsidP="009039D3">
      <w:pPr>
        <w:pStyle w:val="ListParagraph"/>
        <w:numPr>
          <w:ilvl w:val="0"/>
          <w:numId w:val="35"/>
        </w:numPr>
        <w:jc w:val="both"/>
        <w:rPr>
          <w:rFonts w:ascii="Arial Narrow" w:hAnsi="Arial Narrow"/>
          <w:b/>
          <w:snapToGrid w:val="0"/>
          <w:kern w:val="3"/>
          <w:sz w:val="18"/>
          <w:szCs w:val="18"/>
          <w:lang w:val="sl-SI" w:eastAsia="zh-CN"/>
        </w:rPr>
      </w:pPr>
      <w:r w:rsidRPr="00505D7C">
        <w:rPr>
          <w:rFonts w:ascii="Arial Narrow" w:hAnsi="Arial Narrow"/>
          <w:b/>
          <w:snapToGrid w:val="0"/>
          <w:kern w:val="3"/>
          <w:sz w:val="18"/>
          <w:szCs w:val="18"/>
          <w:lang w:val="sl-SI" w:eastAsia="zh-CN"/>
        </w:rPr>
        <w:t>Pregledi dokumentacije</w:t>
      </w:r>
    </w:p>
    <w:p w:rsidR="00893619" w:rsidRPr="00505D7C" w:rsidRDefault="00893619" w:rsidP="009039D3">
      <w:pPr>
        <w:pStyle w:val="ListParagraph"/>
        <w:jc w:val="both"/>
        <w:rPr>
          <w:rFonts w:ascii="Arial Narrow" w:hAnsi="Arial Narrow"/>
          <w:b/>
          <w:snapToGrid w:val="0"/>
          <w:kern w:val="3"/>
          <w:sz w:val="18"/>
          <w:szCs w:val="18"/>
          <w:lang w:val="sl-SI" w:eastAsia="zh-CN"/>
        </w:rPr>
      </w:pPr>
    </w:p>
    <w:p w:rsidR="00893619" w:rsidRPr="00505D7C" w:rsidRDefault="00893619" w:rsidP="009039D3">
      <w:pPr>
        <w:ind w:left="360"/>
        <w:jc w:val="both"/>
        <w:rPr>
          <w:rFonts w:ascii="Arial Narrow" w:eastAsia="SimSun" w:hAnsi="Arial Narrow"/>
          <w:snapToGrid w:val="0"/>
          <w:kern w:val="3"/>
          <w:sz w:val="18"/>
          <w:szCs w:val="18"/>
          <w:lang w:val="sl-SI" w:eastAsia="zh-CN"/>
        </w:rPr>
      </w:pPr>
      <w:r w:rsidRPr="00505D7C">
        <w:rPr>
          <w:rFonts w:ascii="Arial Narrow" w:hAnsi="Arial Narrow"/>
          <w:sz w:val="18"/>
          <w:szCs w:val="18"/>
          <w:lang w:val="sl-SI"/>
        </w:rPr>
        <w:t>Pregled dokumentacije je podroben pregled dodatnih dokazil v prostorih NA, ki se lahko izvaja med ali po fazi končnega poročanja.</w:t>
      </w:r>
    </w:p>
    <w:p w:rsidR="00893619" w:rsidRPr="00505D7C" w:rsidRDefault="00893619" w:rsidP="009039D3">
      <w:pPr>
        <w:ind w:left="360"/>
        <w:jc w:val="both"/>
        <w:rPr>
          <w:rFonts w:ascii="Arial Narrow" w:eastAsia="SimSun" w:hAnsi="Arial Narrow"/>
          <w:snapToGrid w:val="0"/>
          <w:kern w:val="3"/>
          <w:sz w:val="18"/>
          <w:szCs w:val="18"/>
          <w:lang w:val="sl-SI" w:eastAsia="zh-CN"/>
        </w:rPr>
      </w:pPr>
      <w:r w:rsidRPr="00505D7C">
        <w:rPr>
          <w:rFonts w:ascii="Arial Narrow" w:eastAsia="SimSun" w:hAnsi="Arial Narrow"/>
          <w:snapToGrid w:val="0"/>
          <w:kern w:val="3"/>
          <w:sz w:val="18"/>
          <w:szCs w:val="18"/>
          <w:lang w:val="sl-SI" w:eastAsia="zh-CN"/>
        </w:rPr>
        <w:t>Na zahtevo bo upravičenec nacionalni agenciji posredoval dodatna dokazila za vse proračunske postavke.</w:t>
      </w:r>
    </w:p>
    <w:p w:rsidR="00893619" w:rsidRPr="00505D7C" w:rsidRDefault="00893619" w:rsidP="009039D3">
      <w:pPr>
        <w:pStyle w:val="ListParagraph"/>
        <w:numPr>
          <w:ilvl w:val="0"/>
          <w:numId w:val="35"/>
        </w:numPr>
        <w:jc w:val="both"/>
        <w:rPr>
          <w:rFonts w:ascii="Arial Narrow" w:hAnsi="Arial Narrow"/>
          <w:b/>
          <w:snapToGrid w:val="0"/>
          <w:kern w:val="3"/>
          <w:sz w:val="18"/>
          <w:szCs w:val="18"/>
          <w:lang w:val="sl-SI" w:eastAsia="zh-CN"/>
        </w:rPr>
      </w:pPr>
      <w:r w:rsidRPr="00505D7C">
        <w:rPr>
          <w:rFonts w:ascii="Arial Narrow" w:hAnsi="Arial Narrow"/>
          <w:b/>
          <w:snapToGrid w:val="0"/>
          <w:kern w:val="3"/>
          <w:sz w:val="18"/>
          <w:szCs w:val="18"/>
          <w:lang w:val="sl-SI" w:eastAsia="zh-CN"/>
        </w:rPr>
        <w:t>Pregledi na kraju samem</w:t>
      </w:r>
    </w:p>
    <w:p w:rsidR="00893619" w:rsidRPr="00505D7C" w:rsidRDefault="00893619" w:rsidP="009039D3">
      <w:pPr>
        <w:pStyle w:val="ListParagraph"/>
        <w:jc w:val="both"/>
        <w:rPr>
          <w:rFonts w:ascii="Arial Narrow" w:hAnsi="Arial Narrow"/>
          <w:b/>
          <w:snapToGrid w:val="0"/>
          <w:kern w:val="3"/>
          <w:sz w:val="18"/>
          <w:szCs w:val="18"/>
          <w:lang w:val="sl-SI" w:eastAsia="zh-CN"/>
        </w:rPr>
      </w:pP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Preglede na kraju samem izvaja NA v prostorih upravičencev ali katerih koli drugih zadevnih prostorih za izvajanje projekta. Med pregledi na kraju samem bo upravičenec nacionalni agenciji omogočil pregled izvirnih dokazil, kot so navedena v končnem poročilu in pregledih dokumentacije.</w:t>
      </w:r>
    </w:p>
    <w:p w:rsidR="00893619" w:rsidRPr="00505D7C" w:rsidRDefault="00893619" w:rsidP="009039D3">
      <w:pPr>
        <w:jc w:val="both"/>
        <w:rPr>
          <w:rFonts w:ascii="Arial Narrow" w:hAnsi="Arial Narrow"/>
          <w:sz w:val="18"/>
          <w:szCs w:val="18"/>
          <w:lang w:val="sl-SI"/>
        </w:rPr>
      </w:pPr>
      <w:r w:rsidRPr="00505D7C">
        <w:rPr>
          <w:rFonts w:ascii="Arial Narrow" w:hAnsi="Arial Narrow"/>
          <w:sz w:val="18"/>
          <w:szCs w:val="18"/>
          <w:lang w:val="sl-SI"/>
        </w:rPr>
        <w:t>Obstajata dve vrsti možnih pregledov na kraju samem:</w:t>
      </w:r>
    </w:p>
    <w:p w:rsidR="00893619" w:rsidRPr="00505D7C" w:rsidRDefault="00893619" w:rsidP="009039D3">
      <w:pPr>
        <w:ind w:firstLine="720"/>
        <w:jc w:val="both"/>
        <w:rPr>
          <w:rFonts w:ascii="Arial Narrow" w:eastAsia="SimSun" w:hAnsi="Arial Narrow"/>
          <w:b/>
          <w:i/>
          <w:snapToGrid w:val="0"/>
          <w:kern w:val="3"/>
          <w:sz w:val="18"/>
          <w:szCs w:val="18"/>
          <w:lang w:val="sl-SI" w:eastAsia="zh-CN"/>
        </w:rPr>
      </w:pPr>
      <w:r w:rsidRPr="00505D7C">
        <w:rPr>
          <w:rFonts w:ascii="Arial Narrow" w:eastAsia="SimSun" w:hAnsi="Arial Narrow"/>
          <w:b/>
          <w:i/>
          <w:snapToGrid w:val="0"/>
          <w:kern w:val="3"/>
          <w:sz w:val="18"/>
          <w:szCs w:val="18"/>
          <w:lang w:val="sl-SI" w:eastAsia="zh-CN"/>
        </w:rPr>
        <w:t>Pregledi na kraju samem med izvajanjem projekta</w:t>
      </w:r>
    </w:p>
    <w:p w:rsidR="00893619" w:rsidRPr="00505D7C" w:rsidRDefault="00893619" w:rsidP="009039D3">
      <w:pPr>
        <w:ind w:left="720"/>
        <w:jc w:val="both"/>
        <w:rPr>
          <w:rFonts w:ascii="Arial Narrow" w:hAnsi="Arial Narrow"/>
          <w:sz w:val="18"/>
          <w:szCs w:val="18"/>
          <w:lang w:val="sl-SI"/>
        </w:rPr>
      </w:pPr>
      <w:r w:rsidRPr="00505D7C">
        <w:rPr>
          <w:rFonts w:ascii="Arial Narrow" w:hAnsi="Arial Narrow"/>
          <w:sz w:val="18"/>
          <w:szCs w:val="18"/>
          <w:lang w:val="sl-SI"/>
        </w:rPr>
        <w:t>Ta vrsta pregleda poteka med izvajanjem projekta, da nacionalna agencija neposredno preveri resničnost in upravičenost aktivnosti in udeležencev projekta.</w:t>
      </w:r>
    </w:p>
    <w:p w:rsidR="00893619" w:rsidRPr="00505D7C" w:rsidRDefault="00893619" w:rsidP="009039D3">
      <w:pPr>
        <w:ind w:left="720"/>
        <w:jc w:val="both"/>
        <w:rPr>
          <w:rFonts w:ascii="Arial Narrow" w:eastAsia="SimSun" w:hAnsi="Arial Narrow"/>
          <w:b/>
          <w:i/>
          <w:snapToGrid w:val="0"/>
          <w:kern w:val="3"/>
          <w:sz w:val="18"/>
          <w:szCs w:val="18"/>
          <w:lang w:val="sl-SI" w:eastAsia="zh-CN"/>
        </w:rPr>
      </w:pPr>
      <w:r w:rsidRPr="00505D7C">
        <w:rPr>
          <w:rFonts w:ascii="Arial Narrow" w:eastAsia="SimSun" w:hAnsi="Arial Narrow"/>
          <w:b/>
          <w:i/>
          <w:snapToGrid w:val="0"/>
          <w:kern w:val="3"/>
          <w:sz w:val="18"/>
          <w:szCs w:val="18"/>
          <w:lang w:val="sl-SI" w:eastAsia="zh-CN"/>
        </w:rPr>
        <w:t>Pregledi na kraju samem po zaključku projekta</w:t>
      </w:r>
    </w:p>
    <w:p w:rsidR="00893619" w:rsidRPr="00505D7C" w:rsidRDefault="00893619" w:rsidP="009039D3">
      <w:pPr>
        <w:ind w:left="720"/>
        <w:jc w:val="both"/>
        <w:rPr>
          <w:rFonts w:ascii="Arial Narrow" w:hAnsi="Arial Narrow"/>
          <w:sz w:val="18"/>
          <w:szCs w:val="18"/>
          <w:lang w:val="sl-SI"/>
        </w:rPr>
      </w:pPr>
      <w:r w:rsidRPr="00505D7C">
        <w:rPr>
          <w:rFonts w:ascii="Arial Narrow" w:hAnsi="Arial Narrow"/>
          <w:sz w:val="18"/>
          <w:szCs w:val="18"/>
          <w:lang w:val="sl-SI"/>
        </w:rPr>
        <w:t>Ta vrsta pregleda poteka po koncu projekta, običajno po pregledu končnega poročila.</w:t>
      </w:r>
    </w:p>
    <w:p w:rsidR="001E4C85" w:rsidRPr="00505D7C" w:rsidRDefault="00893619" w:rsidP="009039D3">
      <w:pPr>
        <w:jc w:val="both"/>
        <w:rPr>
          <w:rFonts w:ascii="Arial Narrow" w:hAnsi="Arial Narrow"/>
          <w:b/>
          <w:sz w:val="18"/>
          <w:szCs w:val="18"/>
          <w:lang w:val="sl-SI"/>
        </w:rPr>
      </w:pPr>
      <w:r w:rsidRPr="00505D7C">
        <w:rPr>
          <w:rFonts w:ascii="Arial Narrow" w:hAnsi="Arial Narrow"/>
          <w:sz w:val="18"/>
          <w:szCs w:val="18"/>
          <w:lang w:val="sl-SI"/>
        </w:rPr>
        <w:t>Poleg zagotavljanja vseh dokazil, bo upravičenec nacionalni agenciji omogočil dostop do vodenja porabe projekta v knjigah upravičenca.</w:t>
      </w:r>
    </w:p>
    <w:sectPr w:rsidR="001E4C85" w:rsidRPr="00505D7C" w:rsidSect="00AC0AFB">
      <w:headerReference w:type="default" r:id="rId9"/>
      <w:footerReference w:type="default" r:id="rId10"/>
      <w:pgSz w:w="11906" w:h="16838"/>
      <w:pgMar w:top="1615" w:right="1133" w:bottom="709" w:left="1134" w:header="284"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04" w:rsidRDefault="00B47104" w:rsidP="00B94A72">
      <w:pPr>
        <w:spacing w:after="0" w:line="240" w:lineRule="auto"/>
      </w:pPr>
      <w:r>
        <w:separator/>
      </w:r>
    </w:p>
  </w:endnote>
  <w:endnote w:type="continuationSeparator" w:id="0">
    <w:p w:rsidR="00B47104" w:rsidRDefault="00B47104" w:rsidP="00B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9"/>
        <w:szCs w:val="19"/>
      </w:rPr>
      <w:id w:val="683785754"/>
      <w:docPartObj>
        <w:docPartGallery w:val="Page Numbers (Bottom of Page)"/>
        <w:docPartUnique/>
      </w:docPartObj>
    </w:sdtPr>
    <w:sdtEndPr>
      <w:rPr>
        <w:noProof/>
      </w:rPr>
    </w:sdtEndPr>
    <w:sdtContent>
      <w:p w:rsidR="00BA1CE0" w:rsidRPr="006327FF" w:rsidRDefault="00BA1CE0" w:rsidP="006327FF">
        <w:pPr>
          <w:pStyle w:val="Footer"/>
          <w:jc w:val="center"/>
          <w:rPr>
            <w:rFonts w:ascii="Arial Narrow" w:hAnsi="Arial Narrow"/>
            <w:sz w:val="19"/>
            <w:szCs w:val="19"/>
          </w:rPr>
        </w:pPr>
        <w:r w:rsidRPr="006327FF">
          <w:rPr>
            <w:rFonts w:ascii="Arial Narrow" w:hAnsi="Arial Narrow"/>
            <w:sz w:val="19"/>
            <w:szCs w:val="19"/>
          </w:rPr>
          <w:fldChar w:fldCharType="begin"/>
        </w:r>
        <w:r w:rsidRPr="006327FF">
          <w:rPr>
            <w:rFonts w:ascii="Arial Narrow" w:hAnsi="Arial Narrow"/>
            <w:sz w:val="19"/>
            <w:szCs w:val="19"/>
          </w:rPr>
          <w:instrText xml:space="preserve"> PAGE   \* MERGEFORMAT </w:instrText>
        </w:r>
        <w:r w:rsidRPr="006327FF">
          <w:rPr>
            <w:rFonts w:ascii="Arial Narrow" w:hAnsi="Arial Narrow"/>
            <w:sz w:val="19"/>
            <w:szCs w:val="19"/>
          </w:rPr>
          <w:fldChar w:fldCharType="separate"/>
        </w:r>
        <w:r w:rsidR="00CE6833">
          <w:rPr>
            <w:rFonts w:ascii="Arial Narrow" w:hAnsi="Arial Narrow"/>
            <w:noProof/>
            <w:sz w:val="19"/>
            <w:szCs w:val="19"/>
          </w:rPr>
          <w:t>1</w:t>
        </w:r>
        <w:r w:rsidRPr="006327FF">
          <w:rPr>
            <w:rFonts w:ascii="Arial Narrow" w:hAnsi="Arial Narrow"/>
            <w:noProof/>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04" w:rsidRDefault="00B47104" w:rsidP="00B94A72">
      <w:pPr>
        <w:spacing w:after="0" w:line="240" w:lineRule="auto"/>
      </w:pPr>
      <w:r>
        <w:separator/>
      </w:r>
    </w:p>
  </w:footnote>
  <w:footnote w:type="continuationSeparator" w:id="0">
    <w:p w:rsidR="00B47104" w:rsidRDefault="00B47104" w:rsidP="00B9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3"/>
    </w:tblGrid>
    <w:tr w:rsidR="00505D7C" w:rsidTr="00505D7C">
      <w:trPr>
        <w:trHeight w:val="138"/>
      </w:trPr>
      <w:tc>
        <w:tcPr>
          <w:tcW w:w="5104" w:type="dxa"/>
          <w:hideMark/>
        </w:tcPr>
        <w:p w:rsidR="00505D7C" w:rsidRDefault="00505D7C" w:rsidP="00505D7C">
          <w:pPr>
            <w:pStyle w:val="Header"/>
            <w:rPr>
              <w:rFonts w:ascii="Arial Narrow" w:hAnsi="Arial Narrow"/>
              <w:sz w:val="16"/>
              <w:szCs w:val="16"/>
            </w:rPr>
          </w:pPr>
          <w:proofErr w:type="spellStart"/>
          <w:r>
            <w:rPr>
              <w:rFonts w:ascii="Arial Narrow" w:hAnsi="Arial Narrow" w:cs="Arial"/>
              <w:sz w:val="16"/>
              <w:szCs w:val="16"/>
            </w:rPr>
            <w:t>Sporazum</w:t>
          </w:r>
          <w:proofErr w:type="spellEnd"/>
          <w:r>
            <w:rPr>
              <w:rFonts w:ascii="Arial Narrow" w:hAnsi="Arial Narrow" w:cs="Arial"/>
              <w:sz w:val="16"/>
              <w:szCs w:val="16"/>
            </w:rPr>
            <w:t xml:space="preserve"> o </w:t>
          </w:r>
          <w:proofErr w:type="spellStart"/>
          <w:r>
            <w:rPr>
              <w:rFonts w:ascii="Arial Narrow" w:hAnsi="Arial Narrow" w:cs="Arial"/>
              <w:sz w:val="16"/>
              <w:szCs w:val="16"/>
            </w:rPr>
            <w:t>dodelitvi</w:t>
          </w:r>
          <w:proofErr w:type="spellEnd"/>
          <w:r>
            <w:rPr>
              <w:rFonts w:ascii="Arial Narrow" w:hAnsi="Arial Narrow" w:cs="Arial"/>
              <w:sz w:val="16"/>
              <w:szCs w:val="16"/>
            </w:rPr>
            <w:t xml:space="preserve"> </w:t>
          </w:r>
          <w:proofErr w:type="spellStart"/>
          <w:r>
            <w:rPr>
              <w:rFonts w:ascii="Arial Narrow" w:hAnsi="Arial Narrow" w:cs="Arial"/>
              <w:sz w:val="16"/>
              <w:szCs w:val="16"/>
            </w:rPr>
            <w:t>dotacije</w:t>
          </w:r>
          <w:proofErr w:type="spellEnd"/>
          <w:r>
            <w:rPr>
              <w:rFonts w:ascii="Arial Narrow" w:hAnsi="Arial Narrow" w:cs="Arial"/>
              <w:sz w:val="16"/>
              <w:szCs w:val="16"/>
            </w:rPr>
            <w:t xml:space="preserve"> </w:t>
          </w:r>
          <w:proofErr w:type="spellStart"/>
          <w:r>
            <w:rPr>
              <w:rFonts w:ascii="Arial Narrow" w:hAnsi="Arial Narrow" w:cs="Arial"/>
              <w:sz w:val="16"/>
              <w:szCs w:val="16"/>
            </w:rPr>
            <w:t>za</w:t>
          </w:r>
          <w:proofErr w:type="spellEnd"/>
          <w:r>
            <w:rPr>
              <w:rFonts w:ascii="Arial Narrow" w:hAnsi="Arial Narrow" w:cs="Arial"/>
              <w:sz w:val="16"/>
              <w:szCs w:val="16"/>
            </w:rPr>
            <w:t xml:space="preserve"> </w:t>
          </w:r>
          <w:proofErr w:type="spellStart"/>
          <w:r w:rsidR="00C127B6">
            <w:rPr>
              <w:rFonts w:ascii="Arial Narrow" w:hAnsi="Arial Narrow" w:cs="Arial"/>
              <w:sz w:val="16"/>
              <w:szCs w:val="16"/>
            </w:rPr>
            <w:t>projekt</w:t>
          </w:r>
          <w:proofErr w:type="spellEnd"/>
          <w:r w:rsidR="00C127B6">
            <w:rPr>
              <w:rFonts w:ascii="Arial Narrow" w:hAnsi="Arial Narrow" w:cs="Arial"/>
              <w:sz w:val="16"/>
              <w:szCs w:val="16"/>
            </w:rPr>
            <w:t xml:space="preserve"> z </w:t>
          </w:r>
          <w:proofErr w:type="spellStart"/>
          <w:r w:rsidR="00C127B6">
            <w:rPr>
              <w:rFonts w:ascii="Arial Narrow" w:hAnsi="Arial Narrow" w:cs="Arial"/>
              <w:sz w:val="16"/>
              <w:szCs w:val="16"/>
            </w:rPr>
            <w:t>več</w:t>
          </w:r>
          <w:proofErr w:type="spellEnd"/>
          <w:r w:rsidR="00C127B6">
            <w:rPr>
              <w:rFonts w:ascii="Arial Narrow" w:hAnsi="Arial Narrow" w:cs="Arial"/>
              <w:sz w:val="16"/>
              <w:szCs w:val="16"/>
            </w:rPr>
            <w:t xml:space="preserve"> </w:t>
          </w:r>
          <w:proofErr w:type="spellStart"/>
          <w:r w:rsidR="00C127B6">
            <w:rPr>
              <w:rFonts w:ascii="Arial Narrow" w:hAnsi="Arial Narrow" w:cs="Arial"/>
              <w:sz w:val="16"/>
              <w:szCs w:val="16"/>
            </w:rPr>
            <w:t>upravičenci</w:t>
          </w:r>
          <w:proofErr w:type="spellEnd"/>
          <w:r w:rsidR="00C127B6">
            <w:rPr>
              <w:rFonts w:ascii="Arial Narrow" w:hAnsi="Arial Narrow" w:cs="Arial"/>
              <w:sz w:val="16"/>
              <w:szCs w:val="16"/>
            </w:rPr>
            <w:t xml:space="preserve"> - 2017</w:t>
          </w:r>
          <w:r>
            <w:rPr>
              <w:rFonts w:ascii="Arial Narrow" w:hAnsi="Arial Narrow" w:cs="Arial"/>
              <w:sz w:val="16"/>
              <w:szCs w:val="16"/>
            </w:rPr>
            <w:t xml:space="preserve"> – KU3</w:t>
          </w:r>
        </w:p>
      </w:tc>
      <w:tc>
        <w:tcPr>
          <w:tcW w:w="5103" w:type="dxa"/>
          <w:hideMark/>
        </w:tcPr>
        <w:p w:rsidR="00505D7C" w:rsidRDefault="00505D7C">
          <w:pPr>
            <w:jc w:val="right"/>
            <w:rPr>
              <w:rFonts w:asciiTheme="minorHAnsi" w:hAnsiTheme="minorHAnsi"/>
              <w:b/>
              <w:color w:val="0000FF"/>
              <w:sz w:val="16"/>
              <w:szCs w:val="16"/>
            </w:rPr>
          </w:pPr>
          <w:r>
            <w:rPr>
              <w:rFonts w:asciiTheme="minorHAnsi" w:hAnsiTheme="minorHAnsi"/>
              <w:b/>
              <w:color w:val="0000FF"/>
              <w:sz w:val="16"/>
              <w:szCs w:val="16"/>
            </w:rPr>
            <w:t xml:space="preserve"> </w:t>
          </w:r>
        </w:p>
      </w:tc>
    </w:tr>
    <w:tr w:rsidR="00505D7C" w:rsidTr="00505D7C">
      <w:trPr>
        <w:trHeight w:val="665"/>
      </w:trPr>
      <w:tc>
        <w:tcPr>
          <w:tcW w:w="5104" w:type="dxa"/>
          <w:hideMark/>
        </w:tcPr>
        <w:p w:rsidR="00505D7C" w:rsidRDefault="00505D7C">
          <w:pPr>
            <w:jc w:val="both"/>
            <w:rPr>
              <w:rFonts w:asciiTheme="minorHAnsi" w:hAnsiTheme="minorHAnsi"/>
              <w:b/>
              <w:noProof/>
              <w:sz w:val="18"/>
              <w:szCs w:val="18"/>
              <w:lang w:eastAsia="sl-SI"/>
            </w:rPr>
          </w:pPr>
          <w:r>
            <w:rPr>
              <w:noProof/>
              <w:lang w:val="sl-SI" w:eastAsia="sl-SI"/>
            </w:rPr>
            <w:drawing>
              <wp:anchor distT="0" distB="0" distL="114300" distR="114300" simplePos="0" relativeHeight="251659264" behindDoc="1" locked="0" layoutInCell="1" allowOverlap="1" wp14:anchorId="30EB2628" wp14:editId="48238866">
                <wp:simplePos x="0" y="0"/>
                <wp:positionH relativeFrom="column">
                  <wp:posOffset>6985</wp:posOffset>
                </wp:positionH>
                <wp:positionV relativeFrom="paragraph">
                  <wp:posOffset>0</wp:posOffset>
                </wp:positionV>
                <wp:extent cx="1590040" cy="408305"/>
                <wp:effectExtent l="0" t="0" r="0" b="0"/>
                <wp:wrapThrough wrapText="bothSides">
                  <wp:wrapPolygon edited="0">
                    <wp:start x="0" y="0"/>
                    <wp:lineTo x="0" y="20156"/>
                    <wp:lineTo x="21220" y="20156"/>
                    <wp:lineTo x="21220" y="0"/>
                    <wp:lineTo x="0" y="0"/>
                  </wp:wrapPolygon>
                </wp:wrapThrough>
                <wp:docPr id="2" name="Slika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7"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l="4465" t="14066"/>
                        <a:stretch>
                          <a:fillRect/>
                        </a:stretch>
                      </pic:blipFill>
                      <pic:spPr bwMode="auto">
                        <a:xfrm>
                          <a:off x="0" y="0"/>
                          <a:ext cx="1590040" cy="408305"/>
                        </a:xfrm>
                        <a:prstGeom prst="rect">
                          <a:avLst/>
                        </a:prstGeom>
                        <a:noFill/>
                      </pic:spPr>
                    </pic:pic>
                  </a:graphicData>
                </a:graphic>
                <wp14:sizeRelH relativeFrom="page">
                  <wp14:pctWidth>0</wp14:pctWidth>
                </wp14:sizeRelH>
                <wp14:sizeRelV relativeFrom="page">
                  <wp14:pctHeight>0</wp14:pctHeight>
                </wp14:sizeRelV>
              </wp:anchor>
            </w:drawing>
          </w:r>
        </w:p>
      </w:tc>
      <w:tc>
        <w:tcPr>
          <w:tcW w:w="5103" w:type="dxa"/>
          <w:hideMark/>
        </w:tcPr>
        <w:p w:rsidR="00505D7C" w:rsidRDefault="00505D7C">
          <w:pPr>
            <w:jc w:val="both"/>
            <w:rPr>
              <w:rFonts w:asciiTheme="minorHAnsi" w:hAnsiTheme="minorHAnsi"/>
              <w:b/>
              <w:color w:val="0000FF"/>
              <w:sz w:val="16"/>
              <w:szCs w:val="16"/>
            </w:rPr>
          </w:pPr>
          <w:r>
            <w:rPr>
              <w:noProof/>
              <w:lang w:val="sl-SI" w:eastAsia="sl-SI"/>
            </w:rPr>
            <w:drawing>
              <wp:anchor distT="0" distB="0" distL="114300" distR="114300" simplePos="0" relativeHeight="251660288" behindDoc="1" locked="0" layoutInCell="1" allowOverlap="1" wp14:anchorId="16348FEB" wp14:editId="7981DC32">
                <wp:simplePos x="0" y="0"/>
                <wp:positionH relativeFrom="column">
                  <wp:posOffset>2077720</wp:posOffset>
                </wp:positionH>
                <wp:positionV relativeFrom="paragraph">
                  <wp:posOffset>0</wp:posOffset>
                </wp:positionV>
                <wp:extent cx="1067435" cy="398780"/>
                <wp:effectExtent l="0" t="0" r="0" b="1270"/>
                <wp:wrapThrough wrapText="bothSides">
                  <wp:wrapPolygon edited="0">
                    <wp:start x="0" y="0"/>
                    <wp:lineTo x="0" y="20637"/>
                    <wp:lineTo x="21202" y="20637"/>
                    <wp:lineTo x="21202" y="0"/>
                    <wp:lineTo x="0" y="0"/>
                  </wp:wrapPolygon>
                </wp:wrapThrough>
                <wp:docPr id="1" name="Slika 1" descr="mo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8" descr="mov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7435" cy="398780"/>
                        </a:xfrm>
                        <a:prstGeom prst="rect">
                          <a:avLst/>
                        </a:prstGeom>
                        <a:noFill/>
                      </pic:spPr>
                    </pic:pic>
                  </a:graphicData>
                </a:graphic>
                <wp14:sizeRelH relativeFrom="page">
                  <wp14:pctWidth>0</wp14:pctWidth>
                </wp14:sizeRelH>
                <wp14:sizeRelV relativeFrom="page">
                  <wp14:pctHeight>0</wp14:pctHeight>
                </wp14:sizeRelV>
              </wp:anchor>
            </w:drawing>
          </w:r>
        </w:p>
      </w:tc>
    </w:tr>
  </w:tbl>
  <w:p w:rsidR="00BA1CE0" w:rsidRPr="00B65B69" w:rsidRDefault="00BA1CE0" w:rsidP="004C02DA">
    <w:pPr>
      <w:pStyle w:val="Titl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AE9"/>
    <w:multiLevelType w:val="hybridMultilevel"/>
    <w:tmpl w:val="0E505A0E"/>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051CA"/>
    <w:multiLevelType w:val="hybridMultilevel"/>
    <w:tmpl w:val="07189F68"/>
    <w:lvl w:ilvl="0" w:tplc="ACAA64FC">
      <w:numFmt w:val="bullet"/>
      <w:lvlText w:val="-"/>
      <w:lvlJc w:val="left"/>
      <w:pPr>
        <w:ind w:left="780" w:hanging="360"/>
      </w:pPr>
      <w:rPr>
        <w:rFonts w:ascii="Calibri" w:eastAsia="Calibr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9A72CD"/>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52DB7"/>
    <w:multiLevelType w:val="hybridMultilevel"/>
    <w:tmpl w:val="17521052"/>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F711C"/>
    <w:multiLevelType w:val="hybridMultilevel"/>
    <w:tmpl w:val="1AEAD890"/>
    <w:lvl w:ilvl="0" w:tplc="08090001">
      <w:start w:val="1"/>
      <w:numFmt w:val="bullet"/>
      <w:lvlText w:val=""/>
      <w:lvlJc w:val="left"/>
      <w:pPr>
        <w:ind w:left="720" w:hanging="360"/>
      </w:pPr>
      <w:rPr>
        <w:rFonts w:ascii="Symbol" w:hAnsi="Symbol" w:hint="default"/>
      </w:rPr>
    </w:lvl>
    <w:lvl w:ilvl="1" w:tplc="2C10E49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71874"/>
    <w:multiLevelType w:val="hybridMultilevel"/>
    <w:tmpl w:val="4042A1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73530"/>
    <w:multiLevelType w:val="hybridMultilevel"/>
    <w:tmpl w:val="D7E0510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A6091"/>
    <w:multiLevelType w:val="hybridMultilevel"/>
    <w:tmpl w:val="EBBABC16"/>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94F"/>
    <w:multiLevelType w:val="hybridMultilevel"/>
    <w:tmpl w:val="FEFC8D36"/>
    <w:lvl w:ilvl="0" w:tplc="5D32B2AC">
      <w:start w:val="3"/>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5372F7"/>
    <w:multiLevelType w:val="hybridMultilevel"/>
    <w:tmpl w:val="775C86F0"/>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13D2F"/>
    <w:multiLevelType w:val="hybridMultilevel"/>
    <w:tmpl w:val="E4A8BC30"/>
    <w:lvl w:ilvl="0" w:tplc="2C10E496">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B6629"/>
    <w:multiLevelType w:val="hybridMultilevel"/>
    <w:tmpl w:val="DF66DB98"/>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100"/>
    <w:multiLevelType w:val="hybridMultilevel"/>
    <w:tmpl w:val="5D8412D6"/>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F7D4A"/>
    <w:multiLevelType w:val="hybridMultilevel"/>
    <w:tmpl w:val="C3E025C8"/>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F02A2"/>
    <w:multiLevelType w:val="hybridMultilevel"/>
    <w:tmpl w:val="6310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B8378A"/>
    <w:multiLevelType w:val="hybridMultilevel"/>
    <w:tmpl w:val="C76C2522"/>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5712B"/>
    <w:multiLevelType w:val="hybridMultilevel"/>
    <w:tmpl w:val="921248BE"/>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36D9B"/>
    <w:multiLevelType w:val="hybridMultilevel"/>
    <w:tmpl w:val="4C14F830"/>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0E2301"/>
    <w:multiLevelType w:val="hybridMultilevel"/>
    <w:tmpl w:val="102E24F6"/>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75A9F"/>
    <w:multiLevelType w:val="hybridMultilevel"/>
    <w:tmpl w:val="13F289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B5585"/>
    <w:multiLevelType w:val="hybridMultilevel"/>
    <w:tmpl w:val="29006C1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E5FE9"/>
    <w:multiLevelType w:val="hybridMultilevel"/>
    <w:tmpl w:val="8A06A9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FC1987"/>
    <w:multiLevelType w:val="hybridMultilevel"/>
    <w:tmpl w:val="FCFAC812"/>
    <w:lvl w:ilvl="0" w:tplc="C57A6A5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FA0AC2"/>
    <w:multiLevelType w:val="hybridMultilevel"/>
    <w:tmpl w:val="B7C46F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7D4E56"/>
    <w:multiLevelType w:val="hybridMultilevel"/>
    <w:tmpl w:val="DD20C2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84F7111"/>
    <w:multiLevelType w:val="hybridMultilevel"/>
    <w:tmpl w:val="3404C64A"/>
    <w:lvl w:ilvl="0" w:tplc="9968C4C2">
      <w:start w:val="1"/>
      <w:numFmt w:val="bullet"/>
      <w:pStyle w:val="Alineja1"/>
      <w:lvlText w:val=""/>
      <w:lvlJc w:val="left"/>
      <w:pPr>
        <w:ind w:left="654" w:hanging="360"/>
      </w:pPr>
      <w:rPr>
        <w:rFonts w:ascii="Symbol" w:hAnsi="Symbol" w:hint="default"/>
      </w:rPr>
    </w:lvl>
    <w:lvl w:ilvl="1" w:tplc="08090003">
      <w:start w:val="1"/>
      <w:numFmt w:val="bullet"/>
      <w:lvlText w:val="o"/>
      <w:lvlJc w:val="left"/>
      <w:pPr>
        <w:ind w:left="1374" w:hanging="360"/>
      </w:pPr>
      <w:rPr>
        <w:rFonts w:ascii="Courier New" w:hAnsi="Courier New" w:cs="Courier New" w:hint="default"/>
      </w:rPr>
    </w:lvl>
    <w:lvl w:ilvl="2" w:tplc="08090005">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7" w15:restartNumberingAfterBreak="0">
    <w:nsid w:val="3AE7018F"/>
    <w:multiLevelType w:val="hybridMultilevel"/>
    <w:tmpl w:val="EAAAFF9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25CF6"/>
    <w:multiLevelType w:val="hybridMultilevel"/>
    <w:tmpl w:val="1F62628C"/>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91C9E"/>
    <w:multiLevelType w:val="hybridMultilevel"/>
    <w:tmpl w:val="17521052"/>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3F2876"/>
    <w:multiLevelType w:val="hybridMultilevel"/>
    <w:tmpl w:val="832484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9C0435"/>
    <w:multiLevelType w:val="hybridMultilevel"/>
    <w:tmpl w:val="990C045E"/>
    <w:lvl w:ilvl="0" w:tplc="FFAC3422">
      <w:start w:val="1"/>
      <w:numFmt w:val="lowerLetter"/>
      <w:lvlText w:val="(%1)"/>
      <w:lvlJc w:val="left"/>
      <w:pPr>
        <w:ind w:left="720" w:hanging="360"/>
      </w:pPr>
      <w:rPr>
        <w:rFonts w:ascii="Arial Narrow" w:hAnsi="Arial Narrow" w:hint="default"/>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D77D32"/>
    <w:multiLevelType w:val="hybridMultilevel"/>
    <w:tmpl w:val="DAE876FA"/>
    <w:lvl w:ilvl="0" w:tplc="5E0ECC2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3443DD"/>
    <w:multiLevelType w:val="hybridMultilevel"/>
    <w:tmpl w:val="B930D8B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BE079E"/>
    <w:multiLevelType w:val="hybridMultilevel"/>
    <w:tmpl w:val="E12C0408"/>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B54E7"/>
    <w:multiLevelType w:val="hybridMultilevel"/>
    <w:tmpl w:val="E0EE8F2E"/>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53724"/>
    <w:multiLevelType w:val="hybridMultilevel"/>
    <w:tmpl w:val="C1709B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9A7430"/>
    <w:multiLevelType w:val="hybridMultilevel"/>
    <w:tmpl w:val="3144884C"/>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3"/>
  </w:num>
  <w:num w:numId="4">
    <w:abstractNumId w:val="6"/>
  </w:num>
  <w:num w:numId="5">
    <w:abstractNumId w:val="27"/>
  </w:num>
  <w:num w:numId="6">
    <w:abstractNumId w:val="13"/>
  </w:num>
  <w:num w:numId="7">
    <w:abstractNumId w:val="11"/>
  </w:num>
  <w:num w:numId="8">
    <w:abstractNumId w:val="37"/>
  </w:num>
  <w:num w:numId="9">
    <w:abstractNumId w:val="2"/>
  </w:num>
  <w:num w:numId="10">
    <w:abstractNumId w:val="36"/>
  </w:num>
  <w:num w:numId="11">
    <w:abstractNumId w:val="0"/>
  </w:num>
  <w:num w:numId="12">
    <w:abstractNumId w:val="35"/>
  </w:num>
  <w:num w:numId="13">
    <w:abstractNumId w:val="16"/>
  </w:num>
  <w:num w:numId="14">
    <w:abstractNumId w:val="3"/>
  </w:num>
  <w:num w:numId="15">
    <w:abstractNumId w:val="15"/>
  </w:num>
  <w:num w:numId="16">
    <w:abstractNumId w:val="29"/>
  </w:num>
  <w:num w:numId="17">
    <w:abstractNumId w:val="28"/>
  </w:num>
  <w:num w:numId="18">
    <w:abstractNumId w:val="24"/>
  </w:num>
  <w:num w:numId="19">
    <w:abstractNumId w:val="12"/>
  </w:num>
  <w:num w:numId="20">
    <w:abstractNumId w:val="21"/>
  </w:num>
  <w:num w:numId="21">
    <w:abstractNumId w:val="17"/>
  </w:num>
  <w:num w:numId="22">
    <w:abstractNumId w:val="4"/>
  </w:num>
  <w:num w:numId="23">
    <w:abstractNumId w:val="23"/>
  </w:num>
  <w:num w:numId="24">
    <w:abstractNumId w:val="8"/>
  </w:num>
  <w:num w:numId="25">
    <w:abstractNumId w:val="19"/>
  </w:num>
  <w:num w:numId="26">
    <w:abstractNumId w:val="20"/>
  </w:num>
  <w:num w:numId="27">
    <w:abstractNumId w:val="18"/>
  </w:num>
  <w:num w:numId="28">
    <w:abstractNumId w:val="1"/>
  </w:num>
  <w:num w:numId="29">
    <w:abstractNumId w:val="5"/>
  </w:num>
  <w:num w:numId="30">
    <w:abstractNumId w:val="9"/>
  </w:num>
  <w:num w:numId="31">
    <w:abstractNumId w:val="7"/>
  </w:num>
  <w:num w:numId="32">
    <w:abstractNumId w:val="34"/>
  </w:num>
  <w:num w:numId="33">
    <w:abstractNumId w:val="31"/>
  </w:num>
  <w:num w:numId="34">
    <w:abstractNumId w:val="32"/>
  </w:num>
  <w:num w:numId="35">
    <w:abstractNumId w:val="30"/>
  </w:num>
  <w:num w:numId="36">
    <w:abstractNumId w:val="26"/>
  </w:num>
  <w:num w:numId="37">
    <w:abstractNumId w:val="22"/>
  </w:num>
  <w:num w:numId="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2188F"/>
    <w:rsid w:val="00022169"/>
    <w:rsid w:val="00024501"/>
    <w:rsid w:val="0004256A"/>
    <w:rsid w:val="00060BD1"/>
    <w:rsid w:val="00061934"/>
    <w:rsid w:val="000814FD"/>
    <w:rsid w:val="000963DF"/>
    <w:rsid w:val="000A0C4F"/>
    <w:rsid w:val="000A1348"/>
    <w:rsid w:val="000B6A0F"/>
    <w:rsid w:val="000D3FC6"/>
    <w:rsid w:val="000E768F"/>
    <w:rsid w:val="00101E61"/>
    <w:rsid w:val="0012508D"/>
    <w:rsid w:val="00126891"/>
    <w:rsid w:val="001367ED"/>
    <w:rsid w:val="00147F1F"/>
    <w:rsid w:val="001A4B9C"/>
    <w:rsid w:val="001D7BCB"/>
    <w:rsid w:val="001E3607"/>
    <w:rsid w:val="001E3927"/>
    <w:rsid w:val="001E4C85"/>
    <w:rsid w:val="002016B6"/>
    <w:rsid w:val="0026010C"/>
    <w:rsid w:val="00264684"/>
    <w:rsid w:val="002B20E5"/>
    <w:rsid w:val="002D7451"/>
    <w:rsid w:val="00312C31"/>
    <w:rsid w:val="00386A20"/>
    <w:rsid w:val="00386CB0"/>
    <w:rsid w:val="003A0234"/>
    <w:rsid w:val="003D7815"/>
    <w:rsid w:val="003E0365"/>
    <w:rsid w:val="003F48CC"/>
    <w:rsid w:val="003F6D40"/>
    <w:rsid w:val="003F7BF9"/>
    <w:rsid w:val="004008E3"/>
    <w:rsid w:val="0042195C"/>
    <w:rsid w:val="0042473D"/>
    <w:rsid w:val="00455507"/>
    <w:rsid w:val="004557AA"/>
    <w:rsid w:val="0047507A"/>
    <w:rsid w:val="00475D0D"/>
    <w:rsid w:val="00476B2B"/>
    <w:rsid w:val="00484ED5"/>
    <w:rsid w:val="004915AF"/>
    <w:rsid w:val="004953B9"/>
    <w:rsid w:val="004A4712"/>
    <w:rsid w:val="004A6D5C"/>
    <w:rsid w:val="004C02DA"/>
    <w:rsid w:val="004D4CEA"/>
    <w:rsid w:val="00503FCB"/>
    <w:rsid w:val="0050540C"/>
    <w:rsid w:val="00505D7C"/>
    <w:rsid w:val="00533421"/>
    <w:rsid w:val="00574CC9"/>
    <w:rsid w:val="005B23E9"/>
    <w:rsid w:val="005B7B1E"/>
    <w:rsid w:val="005F49C8"/>
    <w:rsid w:val="0062171A"/>
    <w:rsid w:val="006327FF"/>
    <w:rsid w:val="006418D2"/>
    <w:rsid w:val="00641B89"/>
    <w:rsid w:val="00656B2F"/>
    <w:rsid w:val="00671CF1"/>
    <w:rsid w:val="00692AF5"/>
    <w:rsid w:val="006A23BE"/>
    <w:rsid w:val="006F1846"/>
    <w:rsid w:val="006F518A"/>
    <w:rsid w:val="007019D1"/>
    <w:rsid w:val="00730C9F"/>
    <w:rsid w:val="00733C37"/>
    <w:rsid w:val="007405EE"/>
    <w:rsid w:val="0076367F"/>
    <w:rsid w:val="007816D2"/>
    <w:rsid w:val="00783CBC"/>
    <w:rsid w:val="007922A2"/>
    <w:rsid w:val="007D3292"/>
    <w:rsid w:val="007D7D20"/>
    <w:rsid w:val="008120F2"/>
    <w:rsid w:val="00826254"/>
    <w:rsid w:val="00870409"/>
    <w:rsid w:val="0087585E"/>
    <w:rsid w:val="0088067F"/>
    <w:rsid w:val="008830A5"/>
    <w:rsid w:val="00893619"/>
    <w:rsid w:val="008B31E8"/>
    <w:rsid w:val="008B61B3"/>
    <w:rsid w:val="008B73F3"/>
    <w:rsid w:val="008C3594"/>
    <w:rsid w:val="008C3661"/>
    <w:rsid w:val="009039D3"/>
    <w:rsid w:val="0090508B"/>
    <w:rsid w:val="00905ACB"/>
    <w:rsid w:val="00905FFF"/>
    <w:rsid w:val="00920191"/>
    <w:rsid w:val="0099648A"/>
    <w:rsid w:val="009A46A1"/>
    <w:rsid w:val="009B2603"/>
    <w:rsid w:val="009D596C"/>
    <w:rsid w:val="009E1A93"/>
    <w:rsid w:val="009E27F2"/>
    <w:rsid w:val="00A50A58"/>
    <w:rsid w:val="00AA6E7C"/>
    <w:rsid w:val="00AC0AFB"/>
    <w:rsid w:val="00AF6289"/>
    <w:rsid w:val="00B07630"/>
    <w:rsid w:val="00B12CE3"/>
    <w:rsid w:val="00B21324"/>
    <w:rsid w:val="00B419C4"/>
    <w:rsid w:val="00B47104"/>
    <w:rsid w:val="00B508CE"/>
    <w:rsid w:val="00B55A0E"/>
    <w:rsid w:val="00B614C0"/>
    <w:rsid w:val="00B72337"/>
    <w:rsid w:val="00B81283"/>
    <w:rsid w:val="00B8186B"/>
    <w:rsid w:val="00B94A72"/>
    <w:rsid w:val="00BA1CE0"/>
    <w:rsid w:val="00BA5CAE"/>
    <w:rsid w:val="00BB6BCB"/>
    <w:rsid w:val="00C0240D"/>
    <w:rsid w:val="00C127B6"/>
    <w:rsid w:val="00C12C29"/>
    <w:rsid w:val="00C71306"/>
    <w:rsid w:val="00C716EB"/>
    <w:rsid w:val="00C8397E"/>
    <w:rsid w:val="00C92264"/>
    <w:rsid w:val="00CA757A"/>
    <w:rsid w:val="00CC1B98"/>
    <w:rsid w:val="00CC6F16"/>
    <w:rsid w:val="00CE6833"/>
    <w:rsid w:val="00D2236C"/>
    <w:rsid w:val="00D86C14"/>
    <w:rsid w:val="00D87CAB"/>
    <w:rsid w:val="00DC6BE1"/>
    <w:rsid w:val="00DD64D0"/>
    <w:rsid w:val="00E34DF2"/>
    <w:rsid w:val="00E65DA0"/>
    <w:rsid w:val="00E915A3"/>
    <w:rsid w:val="00EB1DB6"/>
    <w:rsid w:val="00ED737B"/>
    <w:rsid w:val="00F03387"/>
    <w:rsid w:val="00F208EA"/>
    <w:rsid w:val="00F42F0C"/>
    <w:rsid w:val="00F75568"/>
    <w:rsid w:val="00F772A1"/>
    <w:rsid w:val="00F8574F"/>
    <w:rsid w:val="00FE7C40"/>
    <w:rsid w:val="00FF50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6A220-5993-43BD-BD63-1F1D7337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7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4A72"/>
    <w:rPr>
      <w:sz w:val="20"/>
      <w:szCs w:val="20"/>
    </w:rPr>
  </w:style>
  <w:style w:type="character" w:customStyle="1" w:styleId="FootnoteTextChar">
    <w:name w:val="Footnote Text Char"/>
    <w:basedOn w:val="DefaultParagraphFont"/>
    <w:link w:val="FootnoteText"/>
    <w:uiPriority w:val="99"/>
    <w:semiHidden/>
    <w:rsid w:val="00B94A72"/>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B94A72"/>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B94A72"/>
    <w:rPr>
      <w:sz w:val="20"/>
      <w:szCs w:val="20"/>
    </w:rPr>
  </w:style>
  <w:style w:type="character" w:customStyle="1" w:styleId="HeaderChar">
    <w:name w:val="Header Char"/>
    <w:basedOn w:val="DefaultParagraphFont"/>
    <w:link w:val="Header"/>
    <w:uiPriority w:val="99"/>
    <w:rsid w:val="00B94A72"/>
    <w:rPr>
      <w:rFonts w:ascii="Calibri" w:eastAsia="Calibri" w:hAnsi="Calibri" w:cs="Times New Roman"/>
      <w:lang w:val="en-GB"/>
    </w:rPr>
  </w:style>
  <w:style w:type="paragraph" w:styleId="Header">
    <w:name w:val="header"/>
    <w:basedOn w:val="Normal"/>
    <w:link w:val="HeaderChar"/>
    <w:uiPriority w:val="99"/>
    <w:unhideWhenUsed/>
    <w:rsid w:val="00B94A72"/>
    <w:pPr>
      <w:tabs>
        <w:tab w:val="center" w:pos="4536"/>
        <w:tab w:val="right" w:pos="9072"/>
      </w:tabs>
    </w:pPr>
  </w:style>
  <w:style w:type="character" w:customStyle="1" w:styleId="FooterChar">
    <w:name w:val="Footer Char"/>
    <w:basedOn w:val="DefaultParagraphFont"/>
    <w:link w:val="Footer"/>
    <w:uiPriority w:val="99"/>
    <w:rsid w:val="00B94A72"/>
    <w:rPr>
      <w:rFonts w:ascii="Calibri" w:eastAsia="Calibri" w:hAnsi="Calibri" w:cs="Times New Roman"/>
      <w:lang w:val="en-GB"/>
    </w:rPr>
  </w:style>
  <w:style w:type="paragraph" w:styleId="Footer">
    <w:name w:val="footer"/>
    <w:basedOn w:val="Normal"/>
    <w:link w:val="FooterChar"/>
    <w:uiPriority w:val="99"/>
    <w:unhideWhenUsed/>
    <w:rsid w:val="00B94A72"/>
    <w:pPr>
      <w:tabs>
        <w:tab w:val="center" w:pos="4536"/>
        <w:tab w:val="right" w:pos="9072"/>
      </w:tabs>
    </w:pPr>
  </w:style>
  <w:style w:type="character" w:customStyle="1" w:styleId="CommentSubjectChar">
    <w:name w:val="Comment Subject Char"/>
    <w:basedOn w:val="CommentTextChar"/>
    <w:link w:val="CommentSubject"/>
    <w:uiPriority w:val="99"/>
    <w:semiHidden/>
    <w:rsid w:val="00B94A72"/>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B94A72"/>
    <w:rPr>
      <w:b/>
      <w:bCs/>
    </w:rPr>
  </w:style>
  <w:style w:type="character" w:customStyle="1" w:styleId="BalloonTextChar">
    <w:name w:val="Balloon Text Char"/>
    <w:basedOn w:val="DefaultParagraphFont"/>
    <w:link w:val="BalloonText"/>
    <w:uiPriority w:val="99"/>
    <w:semiHidden/>
    <w:rsid w:val="00B94A7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94A72"/>
    <w:pPr>
      <w:spacing w:after="0" w:line="240" w:lineRule="auto"/>
    </w:pPr>
    <w:rPr>
      <w:rFonts w:ascii="Tahoma" w:hAnsi="Tahoma" w:cs="Tahoma"/>
      <w:sz w:val="16"/>
      <w:szCs w:val="16"/>
    </w:rPr>
  </w:style>
  <w:style w:type="paragraph" w:styleId="ListParagraph">
    <w:name w:val="List Paragraph"/>
    <w:basedOn w:val="Normal"/>
    <w:uiPriority w:val="34"/>
    <w:qFormat/>
    <w:rsid w:val="00B94A72"/>
    <w:pPr>
      <w:spacing w:after="0" w:line="240" w:lineRule="auto"/>
      <w:ind w:left="720"/>
    </w:pPr>
    <w:rPr>
      <w:rFonts w:eastAsia="SimSun" w:cs="Calibri"/>
    </w:rPr>
  </w:style>
  <w:style w:type="character" w:styleId="FootnoteReference">
    <w:name w:val="footnote reference"/>
    <w:uiPriority w:val="99"/>
    <w:semiHidden/>
    <w:unhideWhenUsed/>
    <w:rsid w:val="00B94A72"/>
    <w:rPr>
      <w:vertAlign w:val="superscript"/>
    </w:rPr>
  </w:style>
  <w:style w:type="character" w:styleId="CommentReference">
    <w:name w:val="annotation reference"/>
    <w:basedOn w:val="DefaultParagraphFont"/>
    <w:uiPriority w:val="99"/>
    <w:semiHidden/>
    <w:unhideWhenUsed/>
    <w:rsid w:val="00C12C29"/>
    <w:rPr>
      <w:sz w:val="16"/>
      <w:szCs w:val="16"/>
    </w:rPr>
  </w:style>
  <w:style w:type="table" w:styleId="TableGrid">
    <w:name w:val="Table Grid"/>
    <w:basedOn w:val="TableNormal"/>
    <w:uiPriority w:val="59"/>
    <w:rsid w:val="006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3BE"/>
    <w:rPr>
      <w:color w:val="0000FF" w:themeColor="hyperlink"/>
      <w:u w:val="single"/>
    </w:rPr>
  </w:style>
  <w:style w:type="paragraph" w:styleId="Title">
    <w:name w:val="Title"/>
    <w:basedOn w:val="Normal"/>
    <w:next w:val="Subtitle"/>
    <w:link w:val="TitleChar1"/>
    <w:qFormat/>
    <w:rsid w:val="00024501"/>
    <w:pPr>
      <w:tabs>
        <w:tab w:val="left" w:pos="-1440"/>
        <w:tab w:val="left" w:pos="-720"/>
        <w:tab w:val="left" w:pos="828"/>
        <w:tab w:val="left" w:pos="1044"/>
        <w:tab w:val="left" w:pos="1260"/>
        <w:tab w:val="left" w:pos="1476"/>
        <w:tab w:val="left" w:pos="1692"/>
        <w:tab w:val="left" w:pos="2160"/>
      </w:tabs>
      <w:suppressAutoHyphens/>
      <w:spacing w:after="0" w:line="240" w:lineRule="auto"/>
      <w:jc w:val="center"/>
    </w:pPr>
    <w:rPr>
      <w:rFonts w:ascii="Times New Roman" w:eastAsia="Times New Roman" w:hAnsi="Times New Roman"/>
      <w:b/>
      <w:bCs/>
      <w:lang w:val="fr-FR" w:eastAsia="ar-SA"/>
    </w:rPr>
  </w:style>
  <w:style w:type="character" w:customStyle="1" w:styleId="TitleChar">
    <w:name w:val="Title Char"/>
    <w:basedOn w:val="DefaultParagraphFont"/>
    <w:uiPriority w:val="10"/>
    <w:rsid w:val="00024501"/>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link w:val="Title"/>
    <w:rsid w:val="00024501"/>
    <w:rPr>
      <w:rFonts w:ascii="Times New Roman" w:eastAsia="Times New Roman" w:hAnsi="Times New Roman" w:cs="Times New Roman"/>
      <w:b/>
      <w:bCs/>
      <w:lang w:val="fr-FR" w:eastAsia="ar-SA"/>
    </w:rPr>
  </w:style>
  <w:style w:type="paragraph" w:styleId="Subtitle">
    <w:name w:val="Subtitle"/>
    <w:basedOn w:val="Normal"/>
    <w:next w:val="Normal"/>
    <w:link w:val="SubtitleChar"/>
    <w:uiPriority w:val="11"/>
    <w:qFormat/>
    <w:rsid w:val="000245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24501"/>
    <w:rPr>
      <w:rFonts w:eastAsiaTheme="minorEastAsia"/>
      <w:color w:val="5A5A5A" w:themeColor="text1" w:themeTint="A5"/>
      <w:spacing w:val="15"/>
      <w:lang w:val="en-GB"/>
    </w:rPr>
  </w:style>
  <w:style w:type="paragraph" w:styleId="NoSpacing">
    <w:name w:val="No Spacing"/>
    <w:uiPriority w:val="1"/>
    <w:qFormat/>
    <w:rsid w:val="004C02DA"/>
    <w:pPr>
      <w:suppressAutoHyphens/>
      <w:spacing w:after="0" w:line="240" w:lineRule="auto"/>
    </w:pPr>
    <w:rPr>
      <w:rFonts w:ascii="Calibri" w:eastAsia="Calibri" w:hAnsi="Calibri" w:cs="Times New Roman"/>
      <w:lang w:val="en-GB" w:eastAsia="ar-SA"/>
    </w:rPr>
  </w:style>
  <w:style w:type="paragraph" w:customStyle="1" w:styleId="Alineja1">
    <w:name w:val="Alineja 1"/>
    <w:basedOn w:val="Normal"/>
    <w:qFormat/>
    <w:rsid w:val="004A4712"/>
    <w:pPr>
      <w:numPr>
        <w:numId w:val="36"/>
      </w:numPr>
      <w:spacing w:after="0"/>
      <w:ind w:left="992" w:hanging="425"/>
      <w:jc w:val="both"/>
    </w:pPr>
    <w:rPr>
      <w:rFonts w:ascii="Times New Roman" w:hAnsi="Times New Roman"/>
      <w:sz w:val="24"/>
      <w:szCs w:val="24"/>
      <w:lang w:val="sl-SI"/>
    </w:rPr>
  </w:style>
  <w:style w:type="paragraph" w:customStyle="1" w:styleId="Aodstavek">
    <w:name w:val="A odstavek"/>
    <w:basedOn w:val="Normal"/>
    <w:qFormat/>
    <w:rsid w:val="004A4712"/>
    <w:pPr>
      <w:ind w:left="567"/>
      <w:jc w:val="both"/>
    </w:pPr>
    <w:rPr>
      <w:rFonts w:ascii="Times New Roman" w:eastAsia="Times New Roman" w:hAnsi="Times New Roman"/>
      <w:color w:val="000000"/>
      <w:sz w:val="24"/>
      <w:szCs w:val="24"/>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6351">
      <w:bodyDiv w:val="1"/>
      <w:marLeft w:val="0"/>
      <w:marRight w:val="0"/>
      <w:marTop w:val="0"/>
      <w:marBottom w:val="0"/>
      <w:divBdr>
        <w:top w:val="none" w:sz="0" w:space="0" w:color="auto"/>
        <w:left w:val="none" w:sz="0" w:space="0" w:color="auto"/>
        <w:bottom w:val="none" w:sz="0" w:space="0" w:color="auto"/>
        <w:right w:val="none" w:sz="0" w:space="0" w:color="auto"/>
      </w:divBdr>
    </w:div>
    <w:div w:id="1855074861">
      <w:bodyDiv w:val="1"/>
      <w:marLeft w:val="0"/>
      <w:marRight w:val="0"/>
      <w:marTop w:val="0"/>
      <w:marBottom w:val="0"/>
      <w:divBdr>
        <w:top w:val="none" w:sz="0" w:space="0" w:color="auto"/>
        <w:left w:val="none" w:sz="0" w:space="0" w:color="auto"/>
        <w:bottom w:val="none" w:sz="0" w:space="0" w:color="auto"/>
        <w:right w:val="none" w:sz="0" w:space="0" w:color="auto"/>
      </w:divBdr>
    </w:div>
    <w:div w:id="19035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336C-35D0-4D2E-A86F-2C7360AA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2153</Words>
  <Characters>12274</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Doma</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Uroš Skrinar</cp:lastModifiedBy>
  <cp:revision>16</cp:revision>
  <cp:lastPrinted>2015-05-05T10:49:00Z</cp:lastPrinted>
  <dcterms:created xsi:type="dcterms:W3CDTF">2015-05-29T09:56:00Z</dcterms:created>
  <dcterms:modified xsi:type="dcterms:W3CDTF">2017-05-15T09:13:00Z</dcterms:modified>
</cp:coreProperties>
</file>